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1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1"/>
          <w:sz w:val="24"/>
          <w:szCs w:val="24"/>
          <w:rFonts w:ascii="宋体" w:eastAsia="宋体" w:hAnsi="宋体" w:cs="宋体"/>
        </w:rPr>
        <w:t>基础信息：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企业名称：</w:t>
      </w:r>
      <w:r>
        <w:rPr>
          <w:b w:val="0"/>
          <w:sz w:val="24"/>
          <w:szCs w:val="24"/>
          <w:rFonts w:ascii="宋体" w:eastAsia="宋体" w:hAnsi="宋体" w:cs="宋体"/>
        </w:rPr>
        <w:t>青海诺德新材料有限公司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法人代表：林培楷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所属行业：</w:t>
      </w:r>
      <w:r>
        <w:rPr>
          <w:b w:val="0"/>
          <w:sz w:val="24"/>
          <w:szCs w:val="24"/>
          <w:rFonts w:ascii="宋体" w:eastAsia="宋体" w:hAnsi="宋体" w:cs="宋体"/>
        </w:rPr>
        <w:t>电子专用材料制造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地理位置：青海省西宁市八一东路5号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生产周期：330天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/>
        </w:rPr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 xml:space="preserve">联系人：田生鹏  电话：13997102436</w:t>
      </w:r>
    </w:p>
    <w:p>
      <w:pPr>
        <w:pStyle w:val="PO156"/>
        <w:bidi w:val="0"/>
        <w:numPr>
          <w:ilvl w:val="0"/>
          <w:numId w:val="0"/>
        </w:numPr>
        <w:jc w:val="both"/>
        <w:spacing w:lineRule="exact" w:line="480"/>
        <w:pageBreakBefore w:val="0"/>
        <w:ind w:right="0" w:firstLine="0" w:leftChars="0"/>
        <w:rPr/>
        <w:outlineLvl w:val="9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/>
        </w:rPr>
        <w:t>委托检测机构：青海环能检测科技有限公司</w:t>
      </w: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ind w:firstLine="0"/>
        <w:rPr/>
      </w:pPr>
    </w:p>
    <w:p>
      <w:pPr>
        <w:pStyle w:val="PO206"/>
        <w:rPr/>
      </w:pPr>
    </w:p>
    <w:p>
      <w:pPr>
        <w:pStyle w:val="PO206"/>
        <w:jc w:val="center"/>
        <w:ind w:firstLine="0"/>
        <w:rPr>
          <w:b w:val="1"/>
          <w:sz w:val="52"/>
          <w:szCs w:val="52"/>
        </w:rPr>
      </w:pPr>
      <w:r>
        <w:rPr>
          <w:b w:val="1"/>
          <w:sz w:val="52"/>
          <w:szCs w:val="52"/>
          <w:rFonts w:hint="eastAsia"/>
        </w:rPr>
        <w:t>青海诺德新材料有限公司</w:t>
      </w:r>
    </w:p>
    <w:p>
      <w:pPr>
        <w:pStyle w:val="PO206"/>
        <w:jc w:val="center"/>
        <w:ind w:firstLine="0"/>
        <w:rPr>
          <w:b w:val="1"/>
          <w:sz w:val="52"/>
          <w:szCs w:val="52"/>
        </w:rPr>
      </w:pPr>
      <w:r>
        <w:rPr>
          <w:b w:val="1"/>
          <w:sz w:val="52"/>
          <w:szCs w:val="52"/>
          <w:rFonts w:hint="eastAsia"/>
        </w:rPr>
        <w:t>自行监测方案</w:t>
      </w: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rPr/>
      </w:pPr>
    </w:p>
    <w:p>
      <w:pPr>
        <w:pStyle w:val="PO206"/>
        <w:jc w:val="center"/>
        <w:ind w:firstLine="0"/>
        <w:rPr>
          <w:b w:val="1"/>
        </w:rPr>
      </w:pPr>
      <w:r>
        <w:rPr>
          <w:b w:val="1"/>
          <w:rFonts w:hint="eastAsia"/>
        </w:rPr>
        <w:t>编制单位：青海诺德新材料有限公司</w:t>
      </w:r>
    </w:p>
    <w:p>
      <w:pPr>
        <w:sectPr>
          <w:pgSz w:w="11906" w:h="16838"/>
          <w:pgMar w:top="1440" w:left="1800" w:bottom="1440" w:right="1800" w:header="851" w:footer="992" w:gutter="0"/>
          <w:pgNumType w:fmt="decimal"/>
          <w:pgBorders w:display="allPages" w:offsetFrom="text" w:zOrder="front">
            <w:top w:val="nil" w:sz="0" w:space="0"/>
            <w:left w:val="nil" w:sz="0" w:space="0"/>
            <w:bottom w:val="nil" w:sz="0" w:space="0"/>
            <w:right w:val="nil" w:sz="0" w:space="0"/>
          </w:pgBorders>
          <w:docGrid w:type="lines" w:linePitch="312" w:charSpace="0"/>
        </w:sectPr>
        <w:jc w:val="center"/>
        <w:ind w:firstLine="0"/>
        <w:rPr>
          <w:b w:val="1"/>
        </w:rPr>
      </w:pPr>
    </w:p>
    <w:p>
      <w:pPr>
        <w:pStyle w:val="PO206"/>
        <w:jc w:val="center"/>
        <w:ind w:firstLine="643"/>
        <w:rPr>
          <w:b w:val="1"/>
          <w:sz w:val="32"/>
          <w:szCs w:val="32"/>
        </w:rPr>
      </w:pPr>
      <w:r>
        <w:rPr>
          <w:b w:val="1"/>
          <w:sz w:val="32"/>
          <w:szCs w:val="32"/>
          <w:rFonts w:hint="eastAsia"/>
        </w:rPr>
        <w:t>青海诺德新材料有限公司</w:t>
      </w:r>
    </w:p>
    <w:p>
      <w:pPr>
        <w:pStyle w:val="PO206"/>
        <w:jc w:val="center"/>
        <w:ind w:firstLine="643"/>
        <w:rPr>
          <w:b w:val="1"/>
          <w:sz w:val="32"/>
          <w:szCs w:val="32"/>
        </w:rPr>
      </w:pPr>
      <w:r>
        <w:rPr>
          <w:b w:val="1"/>
          <w:sz w:val="32"/>
          <w:szCs w:val="32"/>
          <w:rFonts w:hint="eastAsia"/>
        </w:rPr>
        <w:t>自行监测方案</w:t>
      </w:r>
    </w:p>
    <w:p>
      <w:pPr>
        <w:pStyle w:val="PO188"/>
        <w:rPr/>
      </w:pPr>
      <w:r>
        <w:rPr>
          <w:rFonts w:hint="eastAsia"/>
        </w:rPr>
        <w:t>自行监测污染源、监测因子及监测频次表</w:t>
      </w:r>
    </w:p>
    <w:tbl>
      <w:tblID w:val="0"/>
      <w:tblPr>
        <w:tblStyle w:val="PO208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4" w:space="0" w:color="000000"/>
          <w:insideV w:val="single" w:sz="4" w:space="0" w:color="000000"/>
        </w:tblBorders>
        <w:tblCellMar>
          <w:left w:w="57" w:type="dxa"/>
          <w:top w:w="0" w:type="dxa"/>
          <w:right w:w="57" w:type="dxa"/>
          <w:bottom w:w="0" w:type="dxa"/>
        </w:tblCellMar>
        <w:tblW w:w="8420" w:type="dxa"/>
        <w:jc w:val="center"/>
        <w:tblLook w:val="000000" w:firstRow="0" w:lastRow="0" w:firstColumn="0" w:lastColumn="0" w:noHBand="0" w:noVBand="0"/>
        <w:tblLayout w:type="fixed"/>
      </w:tblPr>
      <w:tblGrid>
        <w:gridCol w:w="592"/>
        <w:gridCol w:w="1320"/>
        <w:gridCol w:w="1406"/>
        <w:gridCol w:w="1186"/>
        <w:gridCol w:w="1477"/>
        <w:gridCol w:w="243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type="dxa" w:w="13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排放口编码</w:t>
            </w:r>
          </w:p>
        </w:tc>
        <w:tc>
          <w:tcPr>
            <w:tcW w:type="dxa" w:w="140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排放口名称</w:t>
            </w:r>
          </w:p>
        </w:tc>
        <w:tc>
          <w:tcPr>
            <w:tcW w:type="dxa" w:w="118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监测点位</w:t>
            </w:r>
          </w:p>
        </w:tc>
        <w:tc>
          <w:tcPr>
            <w:tcW w:type="dxa" w:w="147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监测因子</w:t>
            </w:r>
          </w:p>
        </w:tc>
        <w:tc>
          <w:tcPr>
            <w:tcW w:type="dxa" w:w="24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监测频次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rPr/>
            </w:pPr>
            <w:r>
              <w:rPr>
                <w:rFonts w:hint="eastAsia"/>
              </w:rPr>
              <w:t>废气</w:t>
            </w:r>
            <w:r>
              <w:rPr>
                <w:rFonts w:hint="eastAsia"/>
              </w:rPr>
              <w:t>有组</w:t>
            </w:r>
            <w:r>
              <w:rPr>
                <w:rFonts w:hint="eastAsia"/>
              </w:rPr>
              <w:t>织监</w:t>
            </w:r>
            <w:r>
              <w:rPr>
                <w:rFonts w:hint="eastAsia"/>
              </w:rPr>
              <w:t>测方</w:t>
            </w:r>
            <w:r>
              <w:rPr>
                <w:rFonts w:hint="eastAsia"/>
              </w:rPr>
              <w:t>案</w:t>
            </w:r>
          </w:p>
        </w:tc>
        <w:tc>
          <w:tcPr>
            <w:tcW w:type="dxa" w:w="13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DA001</w:t>
            </w:r>
          </w:p>
        </w:tc>
        <w:tc>
          <w:tcPr>
            <w:tcW w:type="dxa" w:w="140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酸雾净化塔1</w:t>
            </w:r>
            <w:r>
              <w:rPr>
                <w:rFonts w:hint="eastAsia"/>
              </w:rPr>
              <w:t>号排放口</w:t>
            </w:r>
          </w:p>
        </w:tc>
        <w:tc>
          <w:tcPr>
            <w:tcW w:type="dxa" w:w="118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烟囱25m处</w:t>
            </w:r>
          </w:p>
        </w:tc>
        <w:tc>
          <w:tcPr>
            <w:tcW w:type="dxa" w:w="147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硫酸雾</w:t>
            </w:r>
          </w:p>
          <w:p>
            <w:pPr>
              <w:rPr/>
            </w:pPr>
            <w:r>
              <w:rPr>
                <w:rFonts w:hint="eastAsia"/>
              </w:rPr>
              <w:t>铬酸雾</w:t>
            </w:r>
          </w:p>
        </w:tc>
        <w:tc>
          <w:tcPr>
            <w:tcW w:type="dxa" w:w="24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次/季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DA002</w:t>
            </w:r>
          </w:p>
        </w:tc>
        <w:tc>
          <w:tcPr>
            <w:tcW w:type="dxa" w:w="14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酸雾净化塔2</w:t>
            </w:r>
            <w:r>
              <w:rPr>
                <w:rFonts w:hint="eastAsia"/>
              </w:rPr>
              <w:t>号排放口</w:t>
            </w:r>
          </w:p>
        </w:tc>
        <w:tc>
          <w:tcPr>
            <w:tcW w:type="dxa" w:w="118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烟囱25m处</w:t>
            </w:r>
          </w:p>
        </w:tc>
        <w:tc>
          <w:tcPr>
            <w:tcW w:type="dxa" w:w="14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硫酸雾</w:t>
            </w:r>
          </w:p>
        </w:tc>
        <w:tc>
          <w:tcPr>
            <w:tcW w:type="dxa" w:w="24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次/季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DA003</w:t>
            </w:r>
          </w:p>
        </w:tc>
        <w:tc>
          <w:tcPr>
            <w:tcW w:type="dxa" w:w="14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酸雾净化塔3</w:t>
            </w:r>
            <w:r>
              <w:rPr>
                <w:rFonts w:hint="eastAsia"/>
              </w:rPr>
              <w:t>号排放口</w:t>
            </w:r>
          </w:p>
        </w:tc>
        <w:tc>
          <w:tcPr>
            <w:tcW w:type="dxa" w:w="11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烟囱25m处</w:t>
            </w:r>
          </w:p>
        </w:tc>
        <w:tc>
          <w:tcPr>
            <w:tcW w:type="dxa" w:w="147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硫酸雾</w:t>
            </w:r>
          </w:p>
        </w:tc>
        <w:tc>
          <w:tcPr>
            <w:tcW w:type="dxa" w:w="24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次/季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 w:val="en-US"/>
              </w:rPr>
            </w:pPr>
            <w:r>
              <w:rPr>
                <w:rFonts w:hint="eastAsia"/>
              </w:rPr>
              <w:t>DA00</w:t>
            </w:r>
            <w:r>
              <w:rPr>
                <w:rFonts w:hint="eastAsia"/>
                <w:lang w:eastAsia="zh-CN" w:val="en-US"/>
              </w:rPr>
              <w:t>4</w:t>
            </w:r>
          </w:p>
        </w:tc>
        <w:tc>
          <w:tcPr>
            <w:tcW w:type="dxa" w:w="14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酸雾净化塔4</w:t>
            </w:r>
            <w:r>
              <w:rPr>
                <w:rFonts w:hint="eastAsia"/>
              </w:rPr>
              <w:t>号排放口</w:t>
            </w:r>
          </w:p>
        </w:tc>
        <w:tc>
          <w:tcPr>
            <w:tcW w:type="dxa" w:w="118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烟囱25m处</w:t>
            </w:r>
          </w:p>
        </w:tc>
        <w:tc>
          <w:tcPr>
            <w:tcW w:type="dxa" w:w="14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硫酸雾</w:t>
            </w:r>
          </w:p>
          <w:p>
            <w:pPr>
              <w:rPr/>
            </w:pPr>
            <w:r>
              <w:rPr>
                <w:rFonts w:hint="eastAsia"/>
              </w:rPr>
              <w:t>铬酸雾</w:t>
            </w:r>
          </w:p>
        </w:tc>
        <w:tc>
          <w:tcPr>
            <w:tcW w:type="dxa" w:w="24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次/季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DA005</w:t>
            </w:r>
          </w:p>
        </w:tc>
        <w:tc>
          <w:tcPr>
            <w:tcW w:type="dxa" w:w="14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锅炉房烟囱</w:t>
            </w:r>
          </w:p>
        </w:tc>
        <w:tc>
          <w:tcPr>
            <w:tcW w:type="dxa" w:w="11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rPr>
                <w:color w:val="FF0000"/>
                <w:rFonts w:hint="eastAsia"/>
              </w:rPr>
            </w:pPr>
            <w:r>
              <w:rPr>
                <w:color w:val="FF0000"/>
                <w:rFonts w:hint="eastAsia"/>
              </w:rPr>
              <w:t>烟囱25m处</w:t>
            </w:r>
          </w:p>
        </w:tc>
        <w:tc>
          <w:tcPr>
            <w:tcW w:type="dxa" w:w="147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颗粒物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二氧化硫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type="dxa" w:w="24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</w:t>
            </w:r>
            <w:r>
              <w:rPr>
                <w:rFonts w:hint="eastAsia"/>
                <w:lang w:eastAsia="zh-CN" w:val="en-US"/>
              </w:rPr>
              <w:t>季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4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47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type="dxa" w:w="24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次/月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1天/次，3次/天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88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废气</w:t>
            </w:r>
            <w:r>
              <w:rPr>
                <w:rFonts w:hint="eastAsia"/>
              </w:rPr>
              <w:t>无组</w:t>
            </w:r>
            <w:r>
              <w:rPr>
                <w:rFonts w:hint="eastAsia"/>
              </w:rPr>
              <w:t>织监</w:t>
            </w:r>
            <w:r>
              <w:rPr>
                <w:rFonts w:hint="eastAsia"/>
              </w:rPr>
              <w:t>测</w:t>
            </w:r>
          </w:p>
        </w:tc>
        <w:tc>
          <w:tcPr>
            <w:tcW w:type="dxa" w:w="272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rPr/>
            </w:pPr>
            <w:r>
              <w:rPr>
                <w:rFonts w:hint="eastAsia"/>
              </w:rPr>
              <w:t>厂界东侧</w:t>
            </w:r>
          </w:p>
          <w:p>
            <w:pPr>
              <w:rPr/>
            </w:pPr>
            <w:r>
              <w:rPr>
                <w:rFonts w:hint="eastAsia"/>
              </w:rPr>
              <w:t>厂界西侧</w:t>
            </w:r>
          </w:p>
          <w:p>
            <w:pPr>
              <w:rPr/>
            </w:pPr>
            <w:r>
              <w:rPr>
                <w:rFonts w:hint="eastAsia"/>
              </w:rPr>
              <w:t>厂界南侧</w:t>
            </w:r>
          </w:p>
          <w:p>
            <w:pPr>
              <w:rPr/>
            </w:pPr>
            <w:r>
              <w:rPr>
                <w:rFonts w:hint="eastAsia"/>
              </w:rPr>
              <w:t>厂界北侧</w:t>
            </w:r>
          </w:p>
        </w:tc>
        <w:tc>
          <w:tcPr>
            <w:tcW w:type="dxa" w:w="11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/>
            </w:pPr>
            <w:r>
              <w:rPr>
                <w:rFonts w:hint="eastAsia"/>
              </w:rPr>
              <w:t>厂界内侧1</w:t>
            </w:r>
            <w:r>
              <w:rPr>
                <w:rFonts w:hint="eastAsia"/>
              </w:rPr>
              <w:t>m处</w:t>
            </w:r>
          </w:p>
        </w:tc>
        <w:tc>
          <w:tcPr>
            <w:tcW w:type="dxa" w:w="147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 w:val="en-US"/>
              </w:rPr>
              <w:t>总悬浮颗粒物</w:t>
            </w:r>
            <w:r>
              <w:rPr>
                <w:rFonts w:hint="eastAsia"/>
              </w:rPr>
              <w:t>硫酸雾</w:t>
            </w:r>
          </w:p>
          <w:p>
            <w:pPr>
              <w:rPr/>
            </w:pPr>
            <w:r>
              <w:rPr>
                <w:rFonts w:hint="eastAsia"/>
              </w:rPr>
              <w:t>铬酸雾</w:t>
            </w:r>
          </w:p>
        </w:tc>
        <w:tc>
          <w:tcPr>
            <w:tcW w:type="dxa" w:w="24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</w:t>
            </w:r>
            <w:r>
              <w:rPr>
                <w:rFonts w:hint="eastAsia"/>
                <w:lang w:eastAsia="zh-CN"/>
              </w:rPr>
              <w:t>季，</w:t>
            </w:r>
            <w:r>
              <w:rPr>
                <w:rFonts w:hint="eastAsia"/>
                <w:lang w:eastAsia="zh-CN" w:val="en-US"/>
              </w:rPr>
              <w:t>1天/次，4次/天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5"/>
        </w:trPr>
        <w:tc>
          <w:tcPr>
            <w:tcW w:type="dxa" w:w="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废水</w:t>
            </w:r>
            <w:r>
              <w:rPr>
                <w:rFonts w:hint="eastAsia"/>
              </w:rPr>
              <w:t>监测</w:t>
            </w:r>
          </w:p>
        </w:tc>
        <w:tc>
          <w:tcPr>
            <w:tcW w:type="dxa" w:w="13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DW002</w:t>
            </w:r>
          </w:p>
        </w:tc>
        <w:tc>
          <w:tcPr>
            <w:tcW w:type="dxa" w:w="2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含铬废水车间排放口</w:t>
            </w:r>
          </w:p>
        </w:tc>
        <w:tc>
          <w:tcPr>
            <w:tcW w:type="dxa" w:w="14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六价铬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总铬</w:t>
            </w:r>
          </w:p>
        </w:tc>
        <w:tc>
          <w:tcPr>
            <w:tcW w:type="dxa" w:w="24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 w:val="en-US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eastAsia="zh-CN" w:val="en-US"/>
              </w:rPr>
              <w:t>季，1天/次，1次/天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40"/>
        </w:trPr>
        <w:tc>
          <w:tcPr>
            <w:tcW w:type="dxa" w:w="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DW003</w:t>
            </w:r>
          </w:p>
        </w:tc>
        <w:tc>
          <w:tcPr>
            <w:tcW w:type="dxa" w:w="25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厂区废水总排口</w:t>
            </w:r>
          </w:p>
        </w:tc>
        <w:tc>
          <w:tcPr>
            <w:tcW w:type="dxa" w:w="147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pH值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悬浮物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六价铬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总铬</w:t>
            </w:r>
          </w:p>
        </w:tc>
        <w:tc>
          <w:tcPr>
            <w:tcW w:type="dxa" w:w="24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eastAsia="zh-CN" w:val="en-US"/>
              </w:rPr>
              <w:t>季，1天/次，1次/天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0"/>
        </w:trPr>
        <w:tc>
          <w:tcPr>
            <w:tcW w:type="dxa" w:w="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地下</w:t>
            </w:r>
            <w:r>
              <w:rPr>
                <w:rFonts w:hint="eastAsia"/>
                <w:lang w:eastAsia="zh-CN"/>
              </w:rPr>
              <w:t>水监</w:t>
            </w:r>
            <w:r>
              <w:rPr>
                <w:rFonts w:hint="eastAsia"/>
                <w:lang w:eastAsia="zh-CN"/>
              </w:rPr>
              <w:t>测</w:t>
            </w:r>
          </w:p>
        </w:tc>
        <w:tc>
          <w:tcPr>
            <w:tcW w:type="dxa" w:w="13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eastAsia="宋体"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1#、2#、3</w:t>
            </w:r>
            <w:r>
              <w:rPr>
                <w:rFonts w:hint="eastAsia"/>
                <w:lang w:eastAsia="zh-CN" w:val="en-US"/>
              </w:rPr>
              <w:t>#、4#</w:t>
            </w:r>
          </w:p>
        </w:tc>
        <w:tc>
          <w:tcPr>
            <w:tcW w:type="dxa" w:w="25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rPr>
                <w:rFonts w:eastAsia="宋体" w:hint="default"/>
                <w:lang w:eastAsia="zh-CN" w:val="en-US"/>
              </w:rPr>
            </w:pPr>
            <w:r>
              <w:rPr>
                <w:rFonts w:hint="eastAsia"/>
                <w:lang w:eastAsia="zh-CN"/>
              </w:rPr>
              <w:t>上游</w:t>
            </w:r>
            <w:r>
              <w:rPr>
                <w:rFonts w:hint="eastAsia"/>
                <w:lang w:eastAsia="zh-CN" w:val="en-US"/>
              </w:rPr>
              <w:t>1#参照井、下游2#、</w:t>
            </w:r>
            <w:r>
              <w:rPr>
                <w:rFonts w:hint="eastAsia"/>
                <w:lang w:eastAsia="zh-CN" w:val="en-US"/>
              </w:rPr>
              <w:t>3#、4#监测井</w:t>
            </w:r>
          </w:p>
        </w:tc>
        <w:tc>
          <w:tcPr>
            <w:tcW w:type="dxa" w:w="14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pH值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六价铬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总铬</w:t>
            </w:r>
          </w:p>
        </w:tc>
        <w:tc>
          <w:tcPr>
            <w:tcW w:type="dxa" w:w="24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 w:val="en-US"/>
              </w:rPr>
              <w:t>1</w:t>
            </w:r>
            <w:r>
              <w:rPr>
                <w:rFonts w:hint="eastAsia"/>
              </w:rPr>
              <w:t>次/年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 w:val="en-US"/>
              </w:rPr>
              <w:t>1天/次，1次/天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79"/>
        </w:trPr>
        <w:tc>
          <w:tcPr>
            <w:tcW w:type="dxa" w:w="5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 w:leftChars="0"/>
              <w:rPr>
                <w:rFonts w:hint="eastAsia"/>
              </w:rPr>
              <w:outlineLvl w:val="9"/>
              <w:wordWrap w:val="off"/>
              <w:snapToGrid w:val="on"/>
            </w:pPr>
            <w:r>
              <w:rPr>
                <w:rFonts w:hint="eastAsia"/>
                <w:lang w:eastAsia="zh-CN"/>
              </w:rPr>
              <w:t>噪声</w:t>
            </w:r>
            <w:r>
              <w:rPr>
                <w:rFonts w:hint="eastAsia"/>
                <w:lang w:eastAsia="zh-CN"/>
              </w:rPr>
              <w:t>监测</w:t>
            </w:r>
          </w:p>
        </w:tc>
        <w:tc>
          <w:tcPr>
            <w:tcW w:type="dxa" w:w="3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 w:leftChars="0"/>
              <w:rPr>
                <w:rFonts w:hint="eastAsia"/>
              </w:rPr>
              <w:outlineLvl w:val="9"/>
              <w:wordWrap w:val="off"/>
              <w:snapToGrid w:val="on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 w:leftChars="0"/>
              <w:rPr>
                <w:rFonts w:eastAsia="宋体" w:hint="eastAsia"/>
                <w:lang w:eastAsia="zh-CN"/>
              </w:rPr>
              <w:outlineLvl w:val="9"/>
              <w:wordWrap w:val="off"/>
              <w:snapToGrid w:val="on"/>
            </w:pPr>
            <w:r>
              <w:rPr>
                <w:rFonts w:hint="eastAsia"/>
                <w:lang w:eastAsia="zh-CN"/>
              </w:rPr>
              <w:t>厂界四周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 w:leftChars="0"/>
              <w:rPr>
                <w:rFonts w:hint="eastAsia"/>
              </w:rPr>
              <w:outlineLvl w:val="9"/>
              <w:wordWrap w:val="off"/>
              <w:snapToGrid w:val="on"/>
            </w:pPr>
          </w:p>
        </w:tc>
        <w:tc>
          <w:tcPr>
            <w:tcW w:type="dxa" w:w="147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ind w:firstLine="100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厂界噪声</w:t>
            </w:r>
          </w:p>
        </w:tc>
        <w:tc>
          <w:tcPr>
            <w:tcW w:type="dxa" w:w="24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rFonts w:eastAsia="宋体"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1次/半年，1天/次，昼夜</w:t>
            </w:r>
            <w:r>
              <w:rPr>
                <w:rFonts w:hint="eastAsia"/>
                <w:lang w:eastAsia="zh-CN" w:val="en-US"/>
              </w:rPr>
              <w:t>各次/天</w:t>
            </w:r>
          </w:p>
        </w:tc>
      </w:tr>
    </w:tbl>
    <w:p>
      <w:pPr>
        <w:pStyle w:val="PO207"/>
        <w:rPr>
          <w:rFonts w:hint="eastAsia"/>
        </w:rPr>
      </w:pPr>
      <w:r>
        <w:rPr>
          <w:rFonts w:hint="eastAsia"/>
        </w:rPr>
        <w:t>注：自动在线监测设备</w:t>
      </w:r>
      <w:r>
        <w:rPr>
          <w:rFonts w:hint="eastAsia"/>
          <w:lang w:eastAsia="zh-CN" w:val="en-US"/>
        </w:rPr>
        <w:t>未验收或</w:t>
      </w:r>
      <w:r>
        <w:rPr>
          <w:rFonts w:hint="eastAsia"/>
        </w:rPr>
        <w:t>出现故障时，采用手工监测。</w:t>
      </w:r>
    </w:p>
    <w:p>
      <w:pPr>
        <w:pStyle w:val="PO8"/>
        <w:spacing w:before="156" w:after="156"/>
        <w:rPr>
          <w:rFonts w:hint="default"/>
          <w:lang w:eastAsia="zh-CN" w:val="en-US"/>
        </w:rPr>
      </w:pPr>
      <w:r>
        <w:rPr>
          <w:rFonts w:hint="eastAsia"/>
          <w:lang w:eastAsia="zh-CN" w:val="en-US"/>
        </w:rPr>
        <w:t>监测分析方法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69" w:type="dxa"/>
        <w:tblInd w:w="-266" w:type="dxa"/>
        <w:tblLook w:val="000000" w:firstRow="0" w:lastRow="0" w:firstColumn="0" w:lastColumn="0" w:noHBand="0" w:noVBand="0"/>
        <w:tblLayout w:type="fixed"/>
      </w:tblPr>
      <w:tblGrid>
        <w:gridCol w:w="1219"/>
        <w:gridCol w:w="1883"/>
        <w:gridCol w:w="4017"/>
        <w:gridCol w:w="910"/>
        <w:gridCol w:w="74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项目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分析方法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方法来源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样品保</w:t>
            </w:r>
            <w:r>
              <w:rPr>
                <w:rFonts w:hint="eastAsia"/>
                <w:lang w:eastAsia="zh-CN" w:val="en-US"/>
              </w:rPr>
              <w:t>存方式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备注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硫酸雾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铬酸钡分光光度</w:t>
            </w:r>
            <w:r>
              <w:rPr>
                <w:rFonts w:hint="default"/>
                <w:lang w:eastAsia="zh-CN" w:val="en-US"/>
              </w:rPr>
              <w:t>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《空气和废气监测分析方法》（第四版增</w:t>
            </w:r>
            <w:r>
              <w:rPr>
                <w:rFonts w:hint="default"/>
                <w:lang w:eastAsia="zh-CN" w:val="en-US"/>
              </w:rPr>
              <w:t>补版）国家环保总局(2007年)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常温保</w:t>
            </w:r>
            <w:r>
              <w:rPr>
                <w:rFonts w:hint="default"/>
                <w:lang w:eastAsia="zh-CN" w:val="en-US"/>
              </w:rPr>
              <w:t>存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</w:rPr>
              <w:t>铬酸雾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二苯基碳酰二肼</w:t>
            </w:r>
            <w:r>
              <w:rPr>
                <w:rFonts w:hint="default"/>
                <w:lang w:eastAsia="zh-CN" w:val="en-US"/>
              </w:rPr>
              <w:t>分光光度法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 xml:space="preserve">HJ/T 29-1999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保存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eastAsia="宋体"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总悬浮颗</w:t>
            </w:r>
            <w:r>
              <w:rPr>
                <w:rFonts w:hint="eastAsia"/>
                <w:lang w:eastAsia="zh-CN" w:val="en-US"/>
              </w:rPr>
              <w:t>粒物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  <w:lang w:eastAsia="zh-CN" w:val="en-US"/>
              </w:rPr>
              <w:t>重量法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GB15432-1995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保存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eastAsia"/>
              </w:rPr>
              <w:t>颗粒物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锅炉烟尘测试</w:t>
            </w: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方法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GB5468-1991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保存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sz w:val="24"/>
                <w:szCs w:val="24"/>
                <w:rFonts w:hint="eastAsia"/>
              </w:rPr>
              <w:t>氮氧化物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定电位电解法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HJ/T57-2017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分析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rPr>
                <w:sz w:val="24"/>
                <w:szCs w:val="24"/>
                <w:rFonts w:hint="eastAsia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定电位电解法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HJ/T693-2014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分析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林格曼</w:t>
            </w:r>
          </w:p>
          <w:p>
            <w:pPr>
              <w:jc w:val="center"/>
              <w:rPr>
                <w:sz w:val="24"/>
                <w:szCs w:val="24"/>
                <w:rFonts w:hint="eastAsia"/>
              </w:rPr>
            </w:pPr>
            <w:r>
              <w:rPr>
                <w:rFonts w:hint="eastAsia"/>
              </w:rPr>
              <w:t>黑度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测烟望远镜法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>《空气和废气监测分析方法》（第四版）</w:t>
            </w:r>
            <w:r>
              <w:rPr>
                <w:rFonts w:hint="default"/>
                <w:lang w:eastAsia="zh-CN" w:val="en-US"/>
              </w:rPr>
              <w:t>国家环保总局（2003年）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b w:val="0"/>
                <w:sz w:val="24"/>
                <w:szCs w:val="24"/>
                <w:rFonts w:ascii="宋体" w:hAnsi="宋体" w:cs="宋体" w:hint="default"/>
                <w:lang w:eastAsia="zh-CN" w:val="en-US"/>
              </w:rPr>
              <w:t>现场</w:t>
            </w:r>
            <w:r>
              <w:rPr>
                <w:b w:val="0"/>
                <w:sz w:val="24"/>
                <w:szCs w:val="24"/>
                <w:rFonts w:ascii="宋体" w:hAnsi="宋体" w:cs="宋体" w:hint="default"/>
                <w:lang w:eastAsia="zh-CN" w:val="en-US"/>
              </w:rPr>
              <w:t>分析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六价铬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二苯碳酰二肼</w:t>
            </w: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分光光度法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GB7467-1987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酸酸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化</w:t>
            </w:r>
          </w:p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总铬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 xml:space="preserve"> 火焰原子吸收分</w:t>
            </w:r>
            <w:r>
              <w:rPr>
                <w:rFonts w:hint="default"/>
                <w:lang w:eastAsia="zh-CN" w:val="en-US"/>
              </w:rPr>
              <w:t>光光度法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rFonts w:hint="default"/>
                <w:lang w:eastAsia="zh-CN" w:val="en-US"/>
              </w:rPr>
              <w:t xml:space="preserve">HJ 757-2015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酸酸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化</w:t>
            </w:r>
          </w:p>
          <w:p>
            <w:pPr>
              <w:jc w:val="center"/>
              <w:rPr>
                <w:rFonts w:hint="default"/>
                <w:lang w:eastAsia="zh-CN" w:val="en-US"/>
              </w:rPr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14天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pH值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玻璃电极法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GB/T6920-1986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保存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2h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COD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重铬酸盐法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HJ828-2017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用硫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酸酸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化至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p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H≦2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保存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2天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纳氏试剂分光</w:t>
            </w: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光度法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HJ535-2009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用硫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酸酸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化至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p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H≦2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保存1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天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重量法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GB11901-1989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保存1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2h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总铜</w:t>
            </w:r>
          </w:p>
        </w:tc>
        <w:tc>
          <w:tcPr>
            <w:tcW w:type="dxa" w:w="1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原子吸收分光</w:t>
            </w: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光度法</w:t>
            </w:r>
          </w:p>
        </w:tc>
        <w:tc>
          <w:tcPr>
            <w:tcW w:type="dxa" w:w="4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GB/T7475-1987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酸酸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化</w:t>
            </w:r>
          </w:p>
          <w:p>
            <w:pPr>
              <w:bidi w:val="0"/>
              <w:jc w:val="center"/>
              <w:pageBreakBefore w:val="0"/>
              <w:rPr>
                <w:rFonts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  </w:t>
            </w:r>
          </w:p>
        </w:tc>
        <w:tc>
          <w:tcPr>
            <w:tcW w:type="dxa" w:w="7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jc w:val="center"/>
              <w:rPr>
                <w:rFonts w:hint="default"/>
                <w:lang w:eastAsia="zh-CN"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</w:trPr>
        <w:tc>
          <w:tcPr>
            <w:tcW w:type="dxa" w:w="12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 w:leftChars="0"/>
              <w:rPr>
                <w:rFonts w:eastAsia="宋体" w:hint="eastAsia"/>
                <w:lang w:eastAsia="zh-CN"/>
              </w:rPr>
              <w:outlineLvl w:val="9"/>
              <w:wordWrap w:val="off"/>
              <w:snapToGrid w:val="on"/>
            </w:pPr>
            <w:r>
              <w:rPr>
                <w:rFonts w:hint="eastAsia"/>
                <w:lang w:eastAsia="zh-CN"/>
              </w:rPr>
              <w:t>厂界噪声</w:t>
            </w:r>
          </w:p>
        </w:tc>
        <w:tc>
          <w:tcPr>
            <w:tcW w:type="dxa" w:w="18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 w:leftChars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outlineLvl w:val="9"/>
              <w:wordWrap w:val="off"/>
              <w:snapToGrid w:val="on"/>
            </w:pPr>
            <w:r>
              <w:rPr>
                <w:rFonts w:hint="eastAsia"/>
                <w:lang w:eastAsia="zh-CN"/>
              </w:rPr>
              <w:t>声级计法</w:t>
            </w:r>
          </w:p>
        </w:tc>
        <w:tc>
          <w:tcPr>
            <w:tcW w:type="dxa" w:w="4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ind w:firstLine="10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hint="eastAsia"/>
              </w:rPr>
              <w:t>GB12348-2008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 w:val="en-US"/>
              </w:rPr>
              <w:t>现场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 w:val="en-US"/>
              </w:rPr>
              <w:t xml:space="preserve">监 测</w:t>
            </w:r>
          </w:p>
        </w:tc>
        <w:tc>
          <w:tcPr>
            <w:tcW w:type="dxa" w:w="7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 w:leftChars="0"/>
              <w:rPr>
                <w:rFonts w:hint="default"/>
                <w:lang w:eastAsia="zh-CN" w:val="en-US"/>
              </w:rPr>
              <w:outlineLvl w:val="9"/>
              <w:wordWrap w:val="off"/>
              <w:snapToGrid w:val="on"/>
            </w:pPr>
          </w:p>
        </w:tc>
      </w:tr>
    </w:tbl>
    <w:p>
      <w:pPr>
        <w:rPr>
          <w:rFonts w:hint="default"/>
          <w:lang w:eastAsia="zh-CN" w:val="en-US"/>
        </w:rPr>
      </w:pPr>
    </w:p>
    <w:p>
      <w:pPr>
        <w:pStyle w:val="PO8"/>
        <w:numPr>
          <w:ilvl w:val="0"/>
          <w:numId w:val="0"/>
        </w:numPr>
        <w:spacing w:before="156" w:after="156"/>
        <w:ind w:right="0" w:firstLine="0" w:leftChars="0"/>
        <w:rPr/>
      </w:pPr>
      <w:r>
        <w:rPr>
          <w:rFonts w:hint="eastAsia"/>
          <w:lang w:eastAsia="zh-CN"/>
        </w:rPr>
        <w:t>质量保证和质量控制</w:t>
      </w:r>
    </w:p>
    <w:p>
      <w:pPr>
        <w:bidi w:val="0"/>
        <w:spacing w:lineRule="auto" w:line="360"/>
        <w:pageBreakBefore w:val="0"/>
        <w:ind w:firstLine="20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为确保监测数据的代表性、准确性和可靠性，在验收监测中对监测全过程包括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布点、采样、样品的运输和储存、实验室分析、数据处理各个环节均进行严格的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质量控制。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 xml:space="preserve">     1、气体监测分析过程中的质量保证和质量控制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﹙1﹚对监测所使用的采样仪器在采样之前全部进行校准。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﹙2﹚连接整个采样系统进行气路检漏实验。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﹙3﹚采样人员在采样时，应认真逐项填写采样记录。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（4）样品送入实验室应做好交接记录。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hAnsi="Times New Roman" w:cs="Times New Roman" w:hint="eastAsia"/>
          <w:lang w:bidi="ar-SA" w:eastAsia="zh-CN" w:val="en-US"/>
        </w:rPr>
        <w:t>2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、室内分析的质量保证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（1）监测分析中所使用的仪器须经计量部门校准认证，方可开始工作。监测分析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中使用的所有仪器经校准后方能使用。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（2）每次样品测定时，还要同时测定两份全程序空白试验值，其相对偏差不应大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于5%。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（3）容量法测定的项目，每次测前应对标准溶液进行标定。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（4）用分光光度法测定项目，要求做三条合格曲线，相关系数r≥0.999，截距和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斜率检验合格。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（5）每天的样品需做10%的平行样，平行双样结果测定的相对偏差不应超过其允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许范围。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（6）监测期间，对有关项目加入质控样品。对监测项目，有质控样需加密码质控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样考核；每批样品测定的同时必须测定全程序空白值。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（7）在样品的采集和分析过程中，如遇到异常情况应及时向质控负责人、项目负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责人汇报，以便及时解决。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 xml:space="preserve"> </w:t>
      </w:r>
      <w:r>
        <w:rPr>
          <w:sz w:val="24"/>
          <w:szCs w:val="24"/>
          <w:rFonts w:cs="Times New Roman" w:hint="eastAsia"/>
          <w:lang w:bidi="ar-SA" w:eastAsia="zh-CN" w:val="en-US"/>
        </w:rPr>
        <w:t>3、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噪声监测分析过程中的质量保证和质量控制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（1）测量仪器为积分平均声级计或环境噪声自动监测仪，其性能不低于GB3785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和GB/17181对Ⅱ型仪器的要求。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（2）声级计、标准校准器已经计量检定部门检定合格，并在有效期限内使用。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（3）每次测量前、后均在测量现场用标准校准器对所用声级分析仪进行声学校准，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 xml:space="preserve">示值偏差不得大于0.5 dB，否则测量结果无效。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（4）测量在无雨雪、无雷电的天气，风速为5.0m/s以下时进行，测量时传声器加</w:t>
      </w: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防风罩。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4、数据处理的质量保证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（1）按方法规定的计算公式进行计算。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（2）所得原始数据、记录须经岗位、项目负责人和质控负责人三级审核方可使用。</w:t>
      </w:r>
    </w:p>
    <w:p>
      <w:pPr>
        <w:bidi w:val="0"/>
        <w:spacing w:lineRule="auto" w:line="360"/>
        <w:pageBreakBefore w:val="0"/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sz w:val="24"/>
          <w:szCs w:val="24"/>
          <w:rFonts w:ascii="Times New Roman" w:eastAsia="宋体" w:hAnsi="Times New Roman" w:cs="Times New Roman" w:hint="eastAsia"/>
          <w:lang w:bidi="ar-SA" w:eastAsia="zh-CN" w:val="en-US"/>
        </w:rPr>
        <w:t>（3）在上报数据的同时严格认真填报质控数据报表。</w:t>
      </w:r>
    </w:p>
    <w:p>
      <w:pPr>
        <w:pStyle w:val="PO8"/>
        <w:bidi w:val="0"/>
        <w:spacing w:lineRule="auto" w:line="360" w:before="156" w:after="156"/>
        <w:pageBreakBefore w:val="0"/>
        <w:rPr/>
        <w:wordWrap w:val="off"/>
        <w:snapToGrid w:val="on"/>
        <w:autoSpaceDE w:val="1"/>
        <w:autoSpaceDN w:val="1"/>
      </w:pPr>
      <w:r>
        <w:rPr>
          <w:rFonts w:hint="eastAsia"/>
        </w:rPr>
        <w:t>信息发布</w:t>
      </w:r>
    </w:p>
    <w:p>
      <w:pPr>
        <w:pStyle w:val="PO206"/>
        <w:rPr/>
      </w:pPr>
      <w:r>
        <w:rPr>
          <w:rFonts w:hint="eastAsia"/>
        </w:rPr>
        <w:t>我公司将通过公司网络信息平台、《工作简报》、信息公开栏等方式，及时向</w:t>
      </w:r>
      <w:r>
        <w:rPr>
          <w:rFonts w:hint="eastAsia"/>
        </w:rPr>
        <w:t>社会公众公开自行监测工作开展情况及监测结果，并积极接受社会公众监督。</w:t>
      </w:r>
    </w:p>
    <w:p>
      <w:pPr>
        <w:pStyle w:val="PO9"/>
        <w:rPr/>
      </w:pPr>
      <w:r>
        <w:rPr>
          <w:rFonts w:hint="eastAsia"/>
        </w:rPr>
        <w:t>公开内容</w:t>
      </w:r>
    </w:p>
    <w:p>
      <w:pPr>
        <w:pStyle w:val="PO206"/>
        <w:rPr/>
      </w:pPr>
      <w:r>
        <w:rPr>
          <w:rFonts w:hint="eastAsia"/>
        </w:rPr>
        <w:t>1、基础信息：企业名称、法人代表、所属行业、地理位置、生产周期、联系方</w:t>
      </w:r>
      <w:r>
        <w:rPr>
          <w:rFonts w:hint="eastAsia"/>
        </w:rPr>
        <w:t>式委托机构详细名称等；</w:t>
      </w:r>
    </w:p>
    <w:p>
      <w:pPr>
        <w:pStyle w:val="PO206"/>
        <w:rPr/>
      </w:pPr>
      <w:r>
        <w:rPr>
          <w:rFonts w:hint="eastAsia"/>
        </w:rPr>
        <w:t>2、自行监测方案；</w:t>
      </w:r>
    </w:p>
    <w:p>
      <w:pPr>
        <w:pStyle w:val="PO206"/>
        <w:rPr/>
      </w:pPr>
      <w:r>
        <w:rPr>
          <w:rFonts w:hint="eastAsia"/>
        </w:rPr>
        <w:t>3、自行监测结果：全部监测点位、监测时间、污染物种类及浓度、标准限值、达</w:t>
      </w:r>
      <w:r>
        <w:rPr>
          <w:rFonts w:hint="eastAsia"/>
        </w:rPr>
        <w:t>标情况、超标倍数；污染物排放方式及排放去向；</w:t>
      </w:r>
    </w:p>
    <w:p>
      <w:pPr>
        <w:pStyle w:val="PO206"/>
        <w:rPr/>
      </w:pPr>
      <w:r>
        <w:rPr>
          <w:rFonts w:hint="eastAsia"/>
        </w:rPr>
        <w:t>4、未开展自行监测的原因；</w:t>
      </w:r>
    </w:p>
    <w:p>
      <w:pPr>
        <w:pStyle w:val="PO206"/>
        <w:rPr/>
      </w:pPr>
      <w:r>
        <w:rPr>
          <w:rFonts w:hint="eastAsia"/>
        </w:rPr>
        <w:t>5、污染监测年度报告。</w:t>
      </w:r>
    </w:p>
    <w:p>
      <w:pPr>
        <w:pStyle w:val="PO9"/>
        <w:rPr/>
      </w:pPr>
      <w:r>
        <w:rPr>
          <w:rFonts w:hint="eastAsia"/>
        </w:rPr>
        <w:t>公开时限</w:t>
      </w:r>
    </w:p>
    <w:p>
      <w:pPr>
        <w:pStyle w:val="PO206"/>
        <w:rPr/>
      </w:pPr>
      <w:r>
        <w:rPr>
          <w:rFonts w:hint="eastAsia"/>
        </w:rPr>
        <w:t>1、公司基础信息随监测数据一并公布，基础信息、自行监测方案如有调整变化</w:t>
      </w:r>
      <w:r>
        <w:rPr>
          <w:rFonts w:hint="eastAsia"/>
        </w:rPr>
        <w:t>时，于变更后的五日内公布最新内容；</w:t>
      </w:r>
    </w:p>
    <w:p>
      <w:pPr>
        <w:pStyle w:val="PO206"/>
        <w:rPr/>
      </w:pPr>
      <w:r>
        <w:rPr>
          <w:rFonts w:hint="eastAsia"/>
        </w:rPr>
        <w:t>2、手工监测数据于每次监测完成后的次日公布；</w:t>
      </w:r>
    </w:p>
    <w:p>
      <w:pPr>
        <w:pStyle w:val="PO206"/>
        <w:rPr/>
      </w:pPr>
      <w:r>
        <w:rPr>
          <w:rFonts w:hint="eastAsia"/>
        </w:rPr>
        <w:t>3、自动监测数据应适时公布监测结果，其中废气自动监测设备为每一小时均值。</w:t>
      </w:r>
    </w:p>
    <w:p>
      <w:pPr>
        <w:pStyle w:val="PO206"/>
        <w:rPr/>
      </w:pPr>
      <w:r>
        <w:rPr>
          <w:rFonts w:hint="eastAsia"/>
        </w:rPr>
        <w:t>4、每年一月底前公布上年度自行监测年度报告，同时报送市、园区环保主管部</w:t>
      </w:r>
      <w:r>
        <w:rPr>
          <w:rFonts w:hint="eastAsia"/>
        </w:rPr>
        <w:t>门。</w:t>
      </w:r>
    </w:p>
    <w:p>
      <w:pPr>
        <w:pStyle w:val="PO206"/>
        <w:rPr>
          <w:color w:val="FF0000"/>
        </w:rPr>
      </w:pPr>
    </w:p>
    <w:p>
      <w:pPr>
        <w:pStyle w:val="PO206"/>
        <w:rPr>
          <w:color w:val="FF0000"/>
        </w:rPr>
      </w:pPr>
    </w:p>
    <w:p>
      <w:pPr>
        <w:pStyle w:val="PO206"/>
        <w:rPr>
          <w:color w:val="FF0000"/>
        </w:rPr>
      </w:pPr>
    </w:p>
    <w:sectPr>
      <w:pgSz w:w="11906" w:h="16838"/>
      <w:pgMar w:top="1440" w:left="1800" w:bottom="1440" w:right="1800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仿宋_GB2312">
    <w:altName w:val="Ã¤Â»Â¿Ã¥Â®Â"/>
    <w:panose1 w:val="00000000000000000000"/>
    <w:charset w:val="52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"/>
    <w:family w:val="roman"/>
    <w:pitch w:val="default"/>
    <w:sig w:usb0="e00002ff" w:usb1="400004ff" w:usb2="00000000" w:usb3="00000000" w:csb0="2000019f" w:csb1="00000000"/>
  </w:font>
  <w:font w:name="创艺简仿宋">
    <w:altName w:val="Ã©Â»ÂÃ¤Â½Â"/>
    <w:panose1 w:val="00000000000000000000"/>
    <w:charset w:val="52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52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0014"/>
    <w:lvl w:ilvl="0">
      <w:lvlJc w:val="left"/>
      <w:numFmt w:val="chineseCountingThousand"/>
      <w:start w:val="1"/>
      <w:suff w:val="tab"/>
      <w:pPr>
        <w:ind w:firstLine="0"/>
        <w:tabs>
          <w:tab w:val="left" w:pos="454"/>
        </w:tabs>
        <w:rPr/>
      </w:pPr>
      <w:rPr>
        <w:rFonts w:hint="eastAsia"/>
      </w:rPr>
      <w:lvlText w:val="第%1章"/>
    </w:lvl>
    <w:lvl w:ilvl="1">
      <w:lvlJc w:val="left"/>
      <w:numFmt w:val="decimal"/>
      <w:start w:val="1"/>
      <w:suff w:val="tab"/>
      <w:pPr>
        <w:ind w:firstLine="0"/>
        <w:tabs>
          <w:tab w:val="left" w:pos="567"/>
        </w:tabs>
        <w:rPr/>
      </w:pPr>
      <w:rPr>
        <w:rFonts w:hint="eastAsia"/>
      </w:rPr>
      <w:lvlText w:val="%1.%2"/>
    </w:lvl>
    <w:lvl w:ilvl="2">
      <w:lvlJc w:val="left"/>
      <w:numFmt w:val="decimal"/>
      <w:start w:val="1"/>
      <w:suff w:val="tab"/>
      <w:pPr>
        <w:ind w:left="567" w:firstLine="0"/>
        <w:tabs>
          <w:tab w:val="left" w:pos="1247"/>
        </w:tabs>
        <w:rPr/>
      </w:pPr>
      <w:rPr>
        <w:rFonts w:hint="eastAsia"/>
      </w:rPr>
      <w:lvlText w:val="%1.%2.%3"/>
    </w:lvl>
    <w:lvl w:ilvl="3">
      <w:lvlJc w:val="left"/>
      <w:numFmt w:val="decimal"/>
      <w:start w:val="1"/>
      <w:suff w:val="tab"/>
      <w:pPr>
        <w:ind w:firstLine="0"/>
        <w:tabs>
          <w:tab w:val="left" w:pos="851"/>
        </w:tabs>
        <w:rPr/>
      </w:pPr>
      <w:rPr>
        <w:rFonts w:hint="eastAsia"/>
      </w:rPr>
      <w:lvlText w:val="%1.%2.%3.%4"/>
    </w:lvl>
    <w:lvl w:ilvl="4">
      <w:lvlJc w:val="left"/>
      <w:numFmt w:val="decimal"/>
      <w:start w:val="1"/>
      <w:suff w:val="tab"/>
      <w:pPr>
        <w:ind w:left="2551" w:hanging="850"/>
        <w:tabs>
          <w:tab w:val="left" w:pos="2781"/>
        </w:tabs>
        <w:rPr/>
      </w:pPr>
      <w:rPr>
        <w:rFonts w:hint="eastAsia"/>
      </w:rPr>
      <w:lvlText w:val="%1.%2.%3.%4.%5"/>
    </w:lvl>
    <w:lvl w:ilvl="5">
      <w:lvlJc w:val="left"/>
      <w:numFmt w:val="decimal"/>
      <w:start w:val="1"/>
      <w:suff w:val="tab"/>
      <w:pPr>
        <w:ind w:left="3260" w:hanging="1134"/>
        <w:tabs>
          <w:tab w:val="left" w:pos="3566"/>
        </w:tabs>
        <w:rPr/>
      </w:pPr>
      <w:rPr>
        <w:rFonts w:hint="eastAsia"/>
      </w:rPr>
      <w:lvlText w:val="%1.%2.%3.%4.%5.%6"/>
    </w:lvl>
    <w:lvl w:ilvl="6">
      <w:lvlJc w:val="left"/>
      <w:numFmt w:val="decimal"/>
      <w:start w:val="1"/>
      <w:suff w:val="tab"/>
      <w:pPr>
        <w:ind w:left="3827" w:hanging="1276"/>
        <w:tabs>
          <w:tab w:val="left" w:pos="4351"/>
        </w:tabs>
        <w:rPr/>
      </w:pPr>
      <w:rPr>
        <w:rFonts w:hint="eastAsia"/>
      </w:rPr>
      <w:lvlText w:val="%1.%2.%3.%4.%5.%6.%7"/>
    </w:lvl>
    <w:lvl w:ilvl="7">
      <w:lvlJc w:val="left"/>
      <w:numFmt w:val="decimal"/>
      <w:start w:val="1"/>
      <w:suff w:val="tab"/>
      <w:pPr>
        <w:ind w:left="4394" w:hanging="1418"/>
        <w:tabs>
          <w:tab w:val="left" w:pos="4776"/>
        </w:tabs>
        <w:rPr/>
      </w:pPr>
      <w:rPr>
        <w:rFonts w:hint="eastAsia"/>
      </w:rPr>
      <w:lvlText w:val="%1.%2.%3.%4.%5.%6.%7.%8"/>
    </w:lvl>
    <w:lvl w:ilvl="8">
      <w:lvlJc w:val="left"/>
      <w:numFmt w:val="decimal"/>
      <w:start w:val="1"/>
      <w:suff w:val="tab"/>
      <w:pPr>
        <w:ind w:left="5102" w:hanging="1700"/>
        <w:tabs>
          <w:tab w:val="left" w:pos="5562"/>
        </w:tabs>
        <w:rPr/>
      </w:pPr>
      <w:rPr>
        <w:rFonts w:hint="eastAsia"/>
      </w:rPr>
      <w:lvlText w:val="%1.%2.%3.%4.%5.%6.%7.%8.%9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link w:val="PO174"/>
    <w:qFormat/>
    <w:uiPriority w:val="7"/>
    <w:pPr>
      <w:numPr>
        <w:ilvl w:val="0"/>
        <w:numId w:val="1"/>
      </w:numPr>
      <w:jc w:val="center"/>
      <w:spacing w:lineRule="auto" w:line="360" w:before="360" w:after="360"/>
      <w:rPr/>
      <w:outlineLvl w:val="0"/>
    </w:pPr>
    <w:rPr>
      <w:sz w:val="36"/>
      <w:szCs w:val="36"/>
      <w:rFonts w:eastAsia="黑体"/>
    </w:rPr>
  </w:style>
  <w:style w:styleId="PO8" w:type="paragraph">
    <w:name w:val="heading 2"/>
    <w:basedOn w:val="PO1"/>
    <w:next w:val="PO1"/>
    <w:link w:val="PO175"/>
    <w:qFormat/>
    <w:uiPriority w:val="8"/>
    <w:pPr>
      <w:numPr>
        <w:ilvl w:val="1"/>
        <w:numId w:val="1"/>
      </w:numPr>
      <w:spacing w:lineRule="auto" w:line="360" w:before="120" w:after="120"/>
      <w:rPr/>
      <w:outlineLvl w:val="1"/>
    </w:pPr>
    <w:rPr>
      <w:sz w:val="30"/>
      <w:szCs w:val="30"/>
      <w:rFonts w:eastAsia="黑体"/>
    </w:rPr>
  </w:style>
  <w:style w:styleId="PO9" w:type="paragraph">
    <w:name w:val="heading 3"/>
    <w:basedOn w:val="PO1"/>
    <w:next w:val="PO1"/>
    <w:link w:val="PO176"/>
    <w:qFormat/>
    <w:uiPriority w:val="9"/>
    <w:pPr>
      <w:numPr>
        <w:ilvl w:val="2"/>
        <w:numId w:val="1"/>
      </w:numPr>
      <w:spacing w:lineRule="auto" w:line="360"/>
      <w:rPr/>
      <w:outlineLvl w:val="2"/>
    </w:pPr>
    <w:rPr>
      <w:sz w:val="28"/>
      <w:szCs w:val="28"/>
      <w:rFonts w:eastAsia="黑体"/>
    </w:rPr>
  </w:style>
  <w:style w:styleId="PO10" w:type="paragraph">
    <w:name w:val="heading 4"/>
    <w:basedOn w:val="PO1"/>
    <w:next w:val="PO1"/>
    <w:link w:val="PO177"/>
    <w:qFormat/>
    <w:uiPriority w:val="10"/>
    <w:pPr>
      <w:numPr>
        <w:ilvl w:val="3"/>
        <w:numId w:val="1"/>
      </w:numPr>
      <w:spacing w:lineRule="auto" w:line="360"/>
      <w:rPr/>
      <w:outlineLvl w:val="3"/>
    </w:pPr>
    <w:rPr>
      <w:sz w:val="24"/>
      <w:szCs w:val="24"/>
      <w:rFonts w:eastAsia="黑体"/>
    </w:rPr>
  </w:style>
  <w:style w:styleId="PO11" w:type="paragraph">
    <w:name w:val="heading 5"/>
    <w:basedOn w:val="PO1"/>
    <w:next w:val="PO1"/>
    <w:link w:val="PO179"/>
    <w:qFormat/>
    <w:uiPriority w:val="11"/>
    <w:pPr>
      <w:spacing w:lineRule="auto" w:line="376" w:before="280" w:after="290"/>
      <w:ind w:left="1546" w:hanging="1008"/>
      <w:tabs>
        <w:tab w:val="left" w:pos="1546"/>
      </w:tabs>
      <w:rPr/>
      <w:outlineLvl w:val="4"/>
    </w:pPr>
    <w:rPr>
      <w:b w:val="1"/>
    </w:rPr>
  </w:style>
  <w:style w:styleId="PO12" w:type="paragraph">
    <w:name w:val="heading 6"/>
    <w:basedOn w:val="PO1"/>
    <w:next w:val="PO1"/>
    <w:link w:val="PO180"/>
    <w:qFormat/>
    <w:uiPriority w:val="12"/>
    <w:pPr>
      <w:spacing w:lineRule="auto" w:line="319" w:before="240" w:after="64"/>
      <w:ind w:left="1690" w:hanging="1152"/>
      <w:tabs>
        <w:tab w:val="left" w:pos="1690"/>
      </w:tabs>
      <w:rPr/>
      <w:outlineLvl w:val="5"/>
    </w:pPr>
    <w:rPr>
      <w:b w:val="1"/>
      <w:sz w:val="24"/>
      <w:szCs w:val="24"/>
      <w:rFonts w:ascii="Arial" w:eastAsia="黑体" w:hAnsi="Arial"/>
    </w:rPr>
  </w:style>
  <w:style w:styleId="PO13" w:type="paragraph">
    <w:name w:val="heading 7"/>
    <w:basedOn w:val="PO1"/>
    <w:next w:val="PO1"/>
    <w:link w:val="PO181"/>
    <w:qFormat/>
    <w:uiPriority w:val="13"/>
    <w:pPr>
      <w:spacing w:lineRule="auto" w:line="319" w:before="240" w:after="64"/>
      <w:ind w:left="1834" w:hanging="1296"/>
      <w:tabs>
        <w:tab w:val="left" w:pos="1834"/>
      </w:tabs>
      <w:rPr/>
      <w:outlineLvl w:val="6"/>
    </w:pPr>
    <w:rPr>
      <w:b w:val="1"/>
      <w:sz w:val="24"/>
      <w:szCs w:val="24"/>
    </w:rPr>
  </w:style>
  <w:style w:styleId="PO14" w:type="paragraph">
    <w:name w:val="heading 8"/>
    <w:basedOn w:val="PO1"/>
    <w:next w:val="PO1"/>
    <w:link w:val="PO182"/>
    <w:qFormat/>
    <w:uiPriority w:val="14"/>
    <w:pPr>
      <w:spacing w:lineRule="auto" w:line="319" w:before="240" w:after="64"/>
      <w:ind w:left="1978" w:hanging="1440"/>
      <w:tabs>
        <w:tab w:val="left" w:pos="1978"/>
      </w:tabs>
      <w:rPr/>
      <w:outlineLvl w:val="7"/>
    </w:pPr>
    <w:rPr>
      <w:sz w:val="24"/>
      <w:szCs w:val="24"/>
      <w:rFonts w:ascii="Arial" w:eastAsia="黑体" w:hAnsi="Arial"/>
    </w:rPr>
  </w:style>
  <w:style w:styleId="PO15" w:type="paragraph">
    <w:name w:val="heading 9"/>
    <w:basedOn w:val="PO1"/>
    <w:next w:val="PO1"/>
    <w:link w:val="PO183"/>
    <w:qFormat/>
    <w:uiPriority w:val="15"/>
    <w:pPr>
      <w:spacing w:lineRule="auto" w:line="319" w:before="240" w:after="64"/>
      <w:ind w:left="2122" w:hanging="1584"/>
      <w:tabs>
        <w:tab w:val="left" w:pos="2122"/>
      </w:tabs>
      <w:rPr/>
      <w:outlineLvl w:val="8"/>
    </w:pPr>
    <w:rPr>
      <w:rFonts w:ascii="Arial" w:eastAsia="黑体" w:hAnsi="Arial"/>
    </w:rPr>
  </w:style>
  <w:style w:customStyle="1" w:styleId="PO27" w:type="paragraph">
    <w:name w:val="TOC Heading"/>
    <w:basedOn w:val="PO7"/>
    <w:next w:val="PO1"/>
    <w:qFormat/>
    <w:uiPriority w:val="27"/>
    <w:semiHidden/>
    <w:unhideWhenUsed/>
    <w:pPr>
      <w:numPr>
        <w:ilvl w:val="0"/>
        <w:numId w:val="0"/>
      </w:numPr>
      <w:jc w:val="left"/>
      <w:spacing w:lineRule="auto" w:line="276" w:before="480" w:after="0"/>
      <w:ind w:right="0" w:firstLine="0"/>
      <w:rPr/>
      <w:outlineLvl w:val="9"/>
    </w:pPr>
    <w:rPr>
      <w:b w:val="1"/>
      <w:color w:val="366091" w:themeColor="accent1" w:themeShade="BF"/>
      <w:sz w:val="28"/>
      <w:szCs w:val="28"/>
      <w:rFonts w:asciiTheme="majorHAnsi" w:eastAsiaTheme="majorEastAsia" w:hAnsiTheme="majorHAnsi" w:cstheme="minorBidi"/>
    </w:rPr>
  </w:style>
  <w:style w:styleId="PO28" w:type="paragraph">
    <w:name w:val="toc 1"/>
    <w:basedOn w:val="PO1"/>
    <w:next w:val="PO1"/>
    <w:qFormat/>
    <w:uiPriority w:val="28"/>
    <w:pPr>
      <w:jc w:val="left"/>
      <w:spacing w:before="120" w:after="120"/>
      <w:rPr/>
    </w:pPr>
    <w:rPr>
      <w:b w:val="1"/>
      <w:sz w:val="20"/>
      <w:szCs w:val="20"/>
      <w:caps/>
      <w:rFonts w:asciiTheme="minorHAnsi" w:hAnsiTheme="minorHAnsi"/>
    </w:rPr>
  </w:style>
  <w:style w:styleId="PO29" w:type="paragraph">
    <w:name w:val="toc 2"/>
    <w:basedOn w:val="PO1"/>
    <w:next w:val="PO1"/>
    <w:qFormat/>
    <w:uiPriority w:val="29"/>
    <w:pPr>
      <w:jc w:val="left"/>
      <w:ind w:left="210" w:firstLine="0"/>
      <w:rPr/>
    </w:pPr>
    <w:rPr>
      <w:sz w:val="20"/>
      <w:szCs w:val="20"/>
      <w:smallCaps w:val="1"/>
      <w:rFonts w:asciiTheme="minorHAnsi" w:hAnsiTheme="minorHAnsi"/>
    </w:rPr>
  </w:style>
  <w:style w:styleId="PO30" w:type="paragraph">
    <w:name w:val="toc 3"/>
    <w:basedOn w:val="PO1"/>
    <w:next w:val="PO1"/>
    <w:qFormat/>
    <w:uiPriority w:val="30"/>
    <w:pPr>
      <w:jc w:val="left"/>
      <w:ind w:left="420" w:firstLine="0"/>
      <w:rPr/>
    </w:pPr>
    <w:rPr>
      <w:i w:val="1"/>
      <w:sz w:val="20"/>
      <w:szCs w:val="20"/>
      <w:rFonts w:asciiTheme="minorHAnsi" w:hAnsiTheme="minorHAnsi"/>
    </w:rPr>
  </w:style>
  <w:style w:styleId="PO31" w:type="paragraph">
    <w:name w:val="toc 4"/>
    <w:basedOn w:val="PO1"/>
    <w:next w:val="PO1"/>
    <w:qFormat/>
    <w:uiPriority w:val="31"/>
    <w:unhideWhenUsed/>
    <w:pPr>
      <w:jc w:val="left"/>
      <w:ind w:left="630" w:firstLine="0"/>
      <w:rPr/>
    </w:pPr>
    <w:rPr>
      <w:sz w:val="18"/>
      <w:szCs w:val="18"/>
      <w:rFonts w:asciiTheme="minorHAnsi" w:hAnsiTheme="minorHAnsi"/>
    </w:rPr>
  </w:style>
  <w:style w:styleId="PO32" w:type="paragraph">
    <w:name w:val="toc 5"/>
    <w:basedOn w:val="PO1"/>
    <w:next w:val="PO1"/>
    <w:qFormat/>
    <w:uiPriority w:val="32"/>
    <w:unhideWhenUsed/>
    <w:pPr>
      <w:jc w:val="left"/>
      <w:ind w:left="840" w:firstLine="0"/>
      <w:rPr/>
    </w:pPr>
    <w:rPr>
      <w:sz w:val="18"/>
      <w:szCs w:val="18"/>
      <w:rFonts w:asciiTheme="minorHAnsi" w:hAnsiTheme="minorHAnsi"/>
    </w:rPr>
  </w:style>
  <w:style w:styleId="PO33" w:type="paragraph">
    <w:name w:val="toc 6"/>
    <w:basedOn w:val="PO1"/>
    <w:next w:val="PO1"/>
    <w:qFormat/>
    <w:uiPriority w:val="33"/>
    <w:unhideWhenUsed/>
    <w:pPr>
      <w:jc w:val="left"/>
      <w:ind w:left="1050" w:firstLine="0"/>
      <w:rPr/>
    </w:pPr>
    <w:rPr>
      <w:sz w:val="18"/>
      <w:szCs w:val="18"/>
      <w:rFonts w:asciiTheme="minorHAnsi" w:hAnsiTheme="minorHAnsi"/>
    </w:rPr>
  </w:style>
  <w:style w:styleId="PO34" w:type="paragraph">
    <w:name w:val="toc 7"/>
    <w:basedOn w:val="PO1"/>
    <w:next w:val="PO1"/>
    <w:qFormat/>
    <w:uiPriority w:val="34"/>
    <w:unhideWhenUsed/>
    <w:pPr>
      <w:jc w:val="left"/>
      <w:ind w:left="1260" w:firstLine="0"/>
      <w:rPr/>
    </w:pPr>
    <w:rPr>
      <w:sz w:val="18"/>
      <w:szCs w:val="18"/>
      <w:rFonts w:asciiTheme="minorHAnsi" w:hAnsiTheme="minorHAnsi"/>
    </w:rPr>
  </w:style>
  <w:style w:styleId="PO35" w:type="paragraph">
    <w:name w:val="toc 8"/>
    <w:basedOn w:val="PO1"/>
    <w:next w:val="PO1"/>
    <w:qFormat/>
    <w:uiPriority w:val="35"/>
    <w:unhideWhenUsed/>
    <w:pPr>
      <w:jc w:val="left"/>
      <w:ind w:left="1470" w:firstLine="0"/>
      <w:rPr/>
    </w:pPr>
    <w:rPr>
      <w:sz w:val="18"/>
      <w:szCs w:val="18"/>
      <w:rFonts w:asciiTheme="minorHAnsi" w:hAnsiTheme="minorHAnsi"/>
    </w:rPr>
  </w:style>
  <w:style w:styleId="PO36" w:type="paragraph">
    <w:name w:val="toc 9"/>
    <w:basedOn w:val="PO1"/>
    <w:next w:val="PO1"/>
    <w:qFormat/>
    <w:uiPriority w:val="36"/>
    <w:unhideWhenUsed/>
    <w:pPr>
      <w:jc w:val="left"/>
      <w:ind w:left="1680" w:firstLine="0"/>
      <w:rPr/>
    </w:pPr>
    <w:rPr>
      <w:sz w:val="18"/>
      <w:szCs w:val="18"/>
      <w:rFonts w:asciiTheme="minorHAnsi" w:hAnsiTheme="minorHAnsi"/>
    </w:rPr>
  </w:style>
  <w:style w:styleId="PO37" w:type="table">
    <w:name w:val="Table Grid"/>
    <w:basedOn w:val="PO3"/>
    <w:qFormat/>
    <w:uiPriority w:val="37"/>
    <w:pPr>
      <w:jc w:val="center"/>
      <w:rPr/>
    </w:pPr>
    <w:rPr>
      <w:sz w:val="24"/>
      <w:szCs w:val="24"/>
      <w:rFonts w:ascii="Times New Roman" w:eastAsia="宋体" w:hAnsi="Times New Roman" w:cs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List 3"/>
    <w:basedOn w:val="PO1"/>
    <w:qFormat/>
    <w:uiPriority w:val="151"/>
    <w:semiHidden/>
    <w:pPr>
      <w:ind w:left="100" w:hanging="200" w:leftChars="-100"/>
      <w:rPr/>
    </w:pPr>
    <w:rPr/>
  </w:style>
  <w:style w:styleId="PO152" w:type="paragraph">
    <w:name w:val="List Bullet"/>
    <w:basedOn w:val="PO1"/>
    <w:qFormat/>
    <w:uiPriority w:val="152"/>
    <w:semiHidden/>
  </w:style>
  <w:style w:styleId="PO153" w:type="paragraph">
    <w:name w:val="Document Map"/>
    <w:basedOn w:val="PO1"/>
    <w:link w:val="PO197"/>
    <w:qFormat/>
    <w:uiPriority w:val="153"/>
    <w:semiHidden/>
    <w:pPr>
      <w:shd w:val="clear" w:color="000000" w:fill="000080"/>
      <w:rPr/>
    </w:pPr>
    <w:rPr/>
  </w:style>
  <w:style w:styleId="PO154" w:type="paragraph">
    <w:name w:val="annotation text"/>
    <w:basedOn w:val="PO1"/>
    <w:link w:val="PO194"/>
    <w:qFormat/>
    <w:uiPriority w:val="154"/>
    <w:semiHidden/>
    <w:pPr>
      <w:jc w:val="left"/>
      <w:rPr/>
    </w:pPr>
    <w:rPr/>
  </w:style>
  <w:style w:styleId="PO155" w:type="paragraph">
    <w:name w:val="Body Text 3"/>
    <w:basedOn w:val="PO1"/>
    <w:link w:val="PO210"/>
    <w:qFormat/>
    <w:uiPriority w:val="155"/>
    <w:pPr>
      <w:spacing w:after="120"/>
      <w:rPr/>
    </w:pPr>
    <w:rPr>
      <w:sz w:val="16"/>
      <w:szCs w:val="16"/>
    </w:rPr>
  </w:style>
  <w:style w:styleId="PO156" w:type="paragraph">
    <w:name w:val="Body Text"/>
    <w:basedOn w:val="PO1"/>
    <w:link w:val="PO203"/>
    <w:qFormat/>
    <w:uiPriority w:val="156"/>
    <w:semiHidden/>
    <w:unhideWhenUsed/>
    <w:pPr>
      <w:spacing w:after="120"/>
      <w:rPr/>
    </w:pPr>
    <w:rPr/>
  </w:style>
  <w:style w:styleId="PO157" w:type="paragraph">
    <w:name w:val="Body Text Indent"/>
    <w:basedOn w:val="PO1"/>
    <w:link w:val="PO205"/>
    <w:qFormat/>
    <w:uiPriority w:val="157"/>
    <w:semiHidden/>
    <w:unhideWhenUsed/>
    <w:pPr>
      <w:spacing w:after="120"/>
      <w:ind w:left="420" w:firstLine="0" w:leftChars="420"/>
      <w:rPr/>
    </w:pPr>
    <w:rPr/>
  </w:style>
  <w:style w:styleId="PO158" w:type="paragraph">
    <w:name w:val="List 2"/>
    <w:basedOn w:val="PO1"/>
    <w:qFormat/>
    <w:uiPriority w:val="158"/>
    <w:semiHidden/>
    <w:pPr>
      <w:ind w:left="100" w:hanging="200" w:leftChars="-100"/>
      <w:rPr/>
    </w:pPr>
    <w:rPr/>
  </w:style>
  <w:style w:styleId="PO159" w:type="paragraph">
    <w:name w:val="List Bullet 2"/>
    <w:basedOn w:val="PO1"/>
    <w:qFormat/>
    <w:uiPriority w:val="159"/>
    <w:semiHidden/>
  </w:style>
  <w:style w:styleId="PO160" w:type="paragraph">
    <w:name w:val="Date"/>
    <w:basedOn w:val="PO1"/>
    <w:next w:val="PO1"/>
    <w:link w:val="PO196"/>
    <w:qFormat/>
    <w:uiPriority w:val="160"/>
    <w:semiHidden/>
    <w:pPr>
      <w:ind w:left="100" w:firstLine="0" w:leftChars="100"/>
      <w:rPr/>
    </w:pPr>
    <w:rPr/>
  </w:style>
  <w:style w:styleId="PO161" w:type="paragraph">
    <w:name w:val="Body Text Indent 2"/>
    <w:basedOn w:val="PO1"/>
    <w:link w:val="PO209"/>
    <w:qFormat/>
    <w:uiPriority w:val="161"/>
    <w:semiHidden/>
    <w:unhideWhenUsed/>
    <w:pPr>
      <w:spacing w:lineRule="auto" w:line="480" w:after="120"/>
      <w:ind w:left="420" w:firstLine="0" w:leftChars="420"/>
      <w:rPr/>
    </w:pPr>
    <w:rPr/>
  </w:style>
  <w:style w:styleId="PO162" w:type="paragraph">
    <w:name w:val="Balloon Text"/>
    <w:basedOn w:val="PO1"/>
    <w:link w:val="PO193"/>
    <w:qFormat/>
    <w:uiPriority w:val="162"/>
    <w:semiHidden/>
    <w:rPr>
      <w:sz w:val="18"/>
      <w:szCs w:val="18"/>
    </w:rPr>
  </w:style>
  <w:style w:styleId="PO163" w:type="paragraph">
    <w:name w:val="footer"/>
    <w:basedOn w:val="PO1"/>
    <w:link w:val="PO201"/>
    <w:qFormat/>
    <w:uiPriority w:val="16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64" w:type="paragraph">
    <w:name w:val="header"/>
    <w:basedOn w:val="PO1"/>
    <w:link w:val="PO202"/>
    <w:qFormat/>
    <w:uiPriority w:val="164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65" w:type="paragraph">
    <w:name w:val="List"/>
    <w:basedOn w:val="PO1"/>
    <w:qFormat/>
    <w:uiPriority w:val="165"/>
    <w:semiHidden/>
    <w:pPr>
      <w:ind w:left="200" w:hanging="200"/>
      <w:rPr/>
    </w:pPr>
    <w:rPr/>
  </w:style>
  <w:style w:styleId="PO166" w:type="paragraph">
    <w:name w:val="List 5"/>
    <w:basedOn w:val="PO1"/>
    <w:qFormat/>
    <w:uiPriority w:val="166"/>
    <w:semiHidden/>
    <w:pPr>
      <w:ind w:left="100" w:hanging="200" w:leftChars="-100"/>
      <w:rPr/>
    </w:pPr>
    <w:rPr/>
  </w:style>
  <w:style w:styleId="PO167" w:type="paragraph">
    <w:name w:val="List 4"/>
    <w:basedOn w:val="PO1"/>
    <w:qFormat/>
    <w:uiPriority w:val="167"/>
    <w:semiHidden/>
    <w:pPr>
      <w:ind w:left="100" w:hanging="200" w:leftChars="-100"/>
      <w:rPr/>
    </w:pPr>
    <w:rPr/>
  </w:style>
  <w:style w:styleId="PO168" w:type="paragraph">
    <w:name w:val="List Continue 2"/>
    <w:basedOn w:val="PO1"/>
    <w:qFormat/>
    <w:uiPriority w:val="168"/>
    <w:semiHidden/>
    <w:pPr>
      <w:spacing w:after="120"/>
      <w:ind w:left="840" w:firstLine="0" w:leftChars="840"/>
      <w:rPr/>
    </w:pPr>
    <w:rPr/>
  </w:style>
  <w:style w:styleId="PO169" w:type="paragraph">
    <w:name w:val="Normal (Web)"/>
    <w:basedOn w:val="PO1"/>
    <w:qFormat/>
    <w:uiPriority w:val="169"/>
    <w:pPr>
      <w:jc w:val="left"/>
      <w:spacing w:before="100" w:beforeAutospacing="1" w:afterAutospacing="1" w:after="100"/>
      <w:ind w:firstLine="480"/>
      <w:rPr/>
    </w:pPr>
    <w:rPr>
      <w:sz w:val="24"/>
      <w:szCs w:val="24"/>
      <w:rFonts w:ascii="宋体" w:hAnsi="宋体" w:cs="宋体"/>
    </w:rPr>
  </w:style>
  <w:style w:styleId="PO170" w:type="paragraph">
    <w:name w:val="index 1"/>
    <w:basedOn w:val="PO1"/>
    <w:next w:val="PO1"/>
    <w:qFormat/>
    <w:uiPriority w:val="170"/>
    <w:semiHidden/>
    <w:pPr>
      <w:jc w:val="center"/>
      <w:spacing w:lineRule="exact" w:line="240"/>
      <w:rPr/>
    </w:pPr>
    <w:rPr>
      <w:spacing w:val="-20"/>
      <w:rFonts w:ascii="仿宋_GB2312" w:eastAsia="仿宋_GB2312"/>
    </w:rPr>
  </w:style>
  <w:style w:styleId="PO171" w:type="paragraph">
    <w:name w:val="annotation subject"/>
    <w:basedOn w:val="PO154"/>
    <w:next w:val="PO154"/>
    <w:link w:val="PO195"/>
    <w:qFormat/>
    <w:uiPriority w:val="171"/>
    <w:semiHidden/>
    <w:pPr>
      <w:spacing w:lineRule="auto" w:line="360"/>
      <w:ind w:firstLine="200"/>
      <w:rPr/>
    </w:pPr>
    <w:rPr>
      <w:b w:val="1"/>
      <w:sz w:val="24"/>
      <w:szCs w:val="24"/>
    </w:rPr>
  </w:style>
  <w:style w:styleId="PO172" w:type="paragraph">
    <w:name w:val="Body Text First Indent"/>
    <w:basedOn w:val="PO156"/>
    <w:link w:val="PO204"/>
    <w:qFormat/>
    <w:uiPriority w:val="172"/>
    <w:semiHidden/>
    <w:unhideWhenUsed/>
    <w:pPr>
      <w:ind w:firstLine="100"/>
      <w:rPr/>
    </w:pPr>
    <w:rPr/>
  </w:style>
  <w:style w:styleId="PO173" w:type="character">
    <w:name w:val="Hyperlink"/>
    <w:basedOn w:val="PO2"/>
    <w:qFormat/>
    <w:uiPriority w:val="173"/>
    <w:rPr>
      <w:color w:val="0000FF"/>
      <w:u w:val="single"/>
    </w:rPr>
  </w:style>
  <w:style w:customStyle="1" w:styleId="PO174" w:type="character">
    <w:name w:val="标题 1 Char"/>
    <w:basedOn w:val="PO2"/>
    <w:link w:val="PO7"/>
    <w:qFormat/>
    <w:uiPriority w:val="174"/>
    <w:rPr>
      <w:sz w:val="36"/>
      <w:szCs w:val="36"/>
      <w:rFonts w:ascii="Times New Roman" w:eastAsia="黑体" w:hAnsi="Times New Roman" w:cs="Times New Roman"/>
    </w:rPr>
  </w:style>
  <w:style w:customStyle="1" w:styleId="PO175" w:type="character">
    <w:name w:val="标题 2 Char"/>
    <w:basedOn w:val="PO2"/>
    <w:link w:val="PO8"/>
    <w:qFormat/>
    <w:uiPriority w:val="175"/>
    <w:rPr>
      <w:sz w:val="30"/>
      <w:szCs w:val="30"/>
      <w:rFonts w:ascii="Times New Roman" w:eastAsia="黑体" w:hAnsi="Times New Roman" w:cs="Times New Roman"/>
    </w:rPr>
  </w:style>
  <w:style w:customStyle="1" w:styleId="PO176" w:type="character">
    <w:name w:val="标题 3 Char"/>
    <w:basedOn w:val="PO2"/>
    <w:link w:val="PO9"/>
    <w:qFormat/>
    <w:uiPriority w:val="176"/>
    <w:rPr>
      <w:sz w:val="28"/>
      <w:szCs w:val="28"/>
      <w:rFonts w:ascii="Times New Roman" w:eastAsia="黑体" w:hAnsi="Times New Roman" w:cs="Times New Roman"/>
    </w:rPr>
  </w:style>
  <w:style w:customStyle="1" w:styleId="PO177" w:type="character">
    <w:name w:val="标题 4 Char"/>
    <w:basedOn w:val="PO2"/>
    <w:link w:val="PO10"/>
    <w:qFormat/>
    <w:uiPriority w:val="177"/>
    <w:rPr>
      <w:sz w:val="24"/>
      <w:szCs w:val="24"/>
      <w:rFonts w:ascii="Times New Roman" w:eastAsia="黑体" w:hAnsi="Times New Roman" w:cs="Times New Roman"/>
    </w:rPr>
  </w:style>
  <w:style w:customStyle="1" w:styleId="PO178" w:type="paragraph">
    <w:name w:val="标题 41"/>
    <w:basedOn w:val="PO10"/>
    <w:next w:val="PO1"/>
    <w:qFormat/>
    <w:uiPriority w:val="178"/>
    <w:semiHidden/>
    <w:pPr>
      <w:numPr>
        <w:ilvl w:val="0"/>
        <w:numId w:val="0"/>
      </w:numPr>
      <w:spacing w:lineRule="auto" w:line="240"/>
      <w:ind w:right="0" w:firstLine="0"/>
      <w:tabs>
        <w:tab w:val="left" w:pos="900"/>
      </w:tabs>
      <w:rPr/>
    </w:pPr>
    <w:rPr>
      <w:b w:val="1"/>
      <w:sz w:val="21"/>
      <w:szCs w:val="21"/>
      <w:rFonts w:eastAsia="宋体"/>
    </w:rPr>
  </w:style>
  <w:style w:customStyle="1" w:styleId="PO179" w:type="character">
    <w:name w:val="标题 5 Char"/>
    <w:basedOn w:val="PO2"/>
    <w:link w:val="PO11"/>
    <w:qFormat/>
    <w:uiPriority w:val="179"/>
    <w:rPr>
      <w:b w:val="1"/>
      <w:rFonts w:ascii="Times New Roman" w:eastAsia="宋体" w:hAnsi="Times New Roman" w:cs="Times New Roman"/>
    </w:rPr>
  </w:style>
  <w:style w:customStyle="1" w:styleId="PO180" w:type="character">
    <w:name w:val="标题 6 Char"/>
    <w:basedOn w:val="PO2"/>
    <w:link w:val="PO12"/>
    <w:qFormat/>
    <w:uiPriority w:val="180"/>
    <w:rPr>
      <w:b w:val="1"/>
      <w:sz w:val="24"/>
      <w:szCs w:val="24"/>
      <w:rFonts w:ascii="Arial" w:eastAsia="黑体" w:hAnsi="Arial" w:cs="Times New Roman"/>
    </w:rPr>
  </w:style>
  <w:style w:customStyle="1" w:styleId="PO181" w:type="character">
    <w:name w:val="标题 7 Char"/>
    <w:basedOn w:val="PO2"/>
    <w:link w:val="PO13"/>
    <w:qFormat/>
    <w:uiPriority w:val="181"/>
    <w:rPr>
      <w:b w:val="1"/>
      <w:sz w:val="24"/>
      <w:szCs w:val="24"/>
      <w:rFonts w:ascii="Times New Roman" w:eastAsia="宋体" w:hAnsi="Times New Roman" w:cs="Times New Roman"/>
    </w:rPr>
  </w:style>
  <w:style w:customStyle="1" w:styleId="PO182" w:type="character">
    <w:name w:val="标题 8 Char"/>
    <w:basedOn w:val="PO2"/>
    <w:link w:val="PO14"/>
    <w:qFormat/>
    <w:uiPriority w:val="182"/>
    <w:rPr>
      <w:sz w:val="24"/>
      <w:szCs w:val="24"/>
      <w:rFonts w:ascii="Arial" w:eastAsia="黑体" w:hAnsi="Arial" w:cs="Times New Roman"/>
    </w:rPr>
  </w:style>
  <w:style w:customStyle="1" w:styleId="PO183" w:type="character">
    <w:name w:val="标题 9 Char"/>
    <w:basedOn w:val="PO2"/>
    <w:link w:val="PO15"/>
    <w:qFormat/>
    <w:uiPriority w:val="183"/>
    <w:rPr>
      <w:rFonts w:ascii="Arial" w:eastAsia="黑体" w:hAnsi="Arial" w:cs="Times New Roman"/>
    </w:rPr>
  </w:style>
  <w:style w:customStyle="1" w:styleId="PO184" w:type="paragraph">
    <w:name w:val="标题4"/>
    <w:basedOn w:val="PO10"/>
    <w:qFormat/>
    <w:uiPriority w:val="184"/>
    <w:semiHidden/>
    <w:pPr>
      <w:numPr>
        <w:ilvl w:val="0"/>
        <w:numId w:val="0"/>
      </w:numPr>
      <w:ind w:right="0" w:firstLine="0"/>
      <w:rPr/>
      <w:snapToGrid w:val="off"/>
      <w:autoSpaceDE w:val="0"/>
      <w:autoSpaceDN w:val="0"/>
    </w:pPr>
    <w:rPr>
      <w:spacing w:val="9"/>
      <w:b w:val="1"/>
      <w:rFonts w:ascii="宋体" w:hAnsi="宋体" w:cs="宋体"/>
    </w:rPr>
  </w:style>
  <w:style w:customStyle="1" w:styleId="PO185" w:type="paragraph">
    <w:name w:val="表格"/>
    <w:qFormat/>
    <w:uiPriority w:val="185"/>
    <w:semiHidden/>
    <w:pPr>
      <w:rPr/>
    </w:pPr>
    <w:rPr>
      <w:sz w:val="21"/>
      <w:szCs w:val="21"/>
      <w:rFonts w:ascii="Times New Roman" w:eastAsia="黑体" w:hAnsi="Times New Roman" w:cs="Times New Roman"/>
      <w:lang w:bidi="ar-SA" w:eastAsia="zh-CN" w:val="en-US"/>
    </w:rPr>
  </w:style>
  <w:style w:customStyle="1" w:styleId="PO186" w:type="paragraph">
    <w:name w:val="表格标题"/>
    <w:basedOn w:val="PO1"/>
    <w:qFormat/>
    <w:uiPriority w:val="186"/>
    <w:semiHidden/>
    <w:pPr>
      <w:spacing w:before="120" w:after="120"/>
      <w:ind w:firstLine="200"/>
      <w:rPr/>
    </w:pPr>
    <w:rPr>
      <w:b w:val="1"/>
    </w:rPr>
  </w:style>
  <w:style w:customStyle="1" w:styleId="PO187" w:type="paragraph">
    <w:name w:val="表格文字"/>
    <w:basedOn w:val="PO1"/>
    <w:next w:val="PO1"/>
    <w:qFormat/>
    <w:uiPriority w:val="187"/>
    <w:semiHidden/>
    <w:pPr>
      <w:jc w:val="center"/>
      <w:rPr/>
      <w:snapToGrid w:val="off"/>
    </w:pPr>
    <w:rPr>
      <w:rFonts w:ascii="宋体"/>
    </w:rPr>
  </w:style>
  <w:style w:customStyle="1" w:styleId="PO188" w:type="paragraph">
    <w:name w:val="表头"/>
    <w:basedOn w:val="PO1"/>
    <w:link w:val="PO189"/>
    <w:qFormat/>
    <w:uiPriority w:val="188"/>
    <w:pPr>
      <w:jc w:val="center"/>
      <w:spacing w:lineRule="auto" w:line="360"/>
      <w:rPr/>
    </w:pPr>
    <w:rPr>
      <w:rFonts w:eastAsia="黑体"/>
    </w:rPr>
  </w:style>
  <w:style w:customStyle="1" w:styleId="PO189" w:type="character">
    <w:name w:val="表头 Char"/>
    <w:link w:val="PO188"/>
    <w:qFormat/>
    <w:uiPriority w:val="189"/>
    <w:rPr>
      <w:rFonts w:ascii="Times New Roman" w:eastAsia="黑体" w:hAnsi="Times New Roman" w:cs="Times New Roman"/>
    </w:rPr>
  </w:style>
  <w:style w:customStyle="1" w:styleId="PO190" w:type="paragraph">
    <w:name w:val="表头样式1"/>
    <w:basedOn w:val="PO1"/>
    <w:qFormat/>
    <w:uiPriority w:val="190"/>
    <w:semiHidden/>
    <w:pPr>
      <w:jc w:val="center"/>
      <w:spacing w:lineRule="atLeast" w:line="480" w:after="80"/>
      <w:rPr/>
    </w:pPr>
    <w:rPr>
      <w:b w:val="1"/>
      <w:sz w:val="24"/>
      <w:szCs w:val="24"/>
      <w:rFonts w:eastAsia="黑体"/>
    </w:rPr>
  </w:style>
  <w:style w:customStyle="1" w:styleId="PO191" w:type="paragraph">
    <w:name w:val="居中表内文"/>
    <w:basedOn w:val="PO1"/>
    <w:qFormat/>
    <w:uiPriority w:val="191"/>
    <w:semiHidden/>
    <w:pPr>
      <w:jc w:val="center"/>
      <w:rPr/>
    </w:pPr>
    <w:rPr>
      <w:rFonts w:cs="宋体"/>
    </w:rPr>
  </w:style>
  <w:style w:customStyle="1" w:styleId="PO192" w:type="paragraph">
    <w:name w:val="居中表内文 Char"/>
    <w:basedOn w:val="PO1"/>
    <w:qFormat/>
    <w:uiPriority w:val="192"/>
    <w:semiHidden/>
    <w:pPr>
      <w:jc w:val="center"/>
      <w:spacing w:lineRule="exact" w:line="240"/>
      <w:rPr/>
    </w:pPr>
    <w:rPr>
      <w:sz w:val="18"/>
      <w:szCs w:val="18"/>
      <w:rFonts w:cs="宋体"/>
    </w:rPr>
  </w:style>
  <w:style w:customStyle="1" w:styleId="PO193" w:type="character">
    <w:name w:val="批注框文本 Char"/>
    <w:basedOn w:val="PO2"/>
    <w:link w:val="PO162"/>
    <w:qFormat/>
    <w:uiPriority w:val="193"/>
    <w:semiHidden/>
    <w:rPr>
      <w:sz w:val="18"/>
      <w:szCs w:val="18"/>
      <w:rFonts w:ascii="Times New Roman" w:eastAsia="宋体" w:hAnsi="Times New Roman" w:cs="Times New Roman"/>
    </w:rPr>
  </w:style>
  <w:style w:customStyle="1" w:styleId="PO194" w:type="character">
    <w:name w:val="批注文字 Char"/>
    <w:basedOn w:val="PO2"/>
    <w:link w:val="PO154"/>
    <w:qFormat/>
    <w:uiPriority w:val="194"/>
    <w:semiHidden/>
    <w:rPr>
      <w:rFonts w:ascii="Times New Roman" w:eastAsia="宋体" w:hAnsi="Times New Roman" w:cs="Times New Roman"/>
    </w:rPr>
  </w:style>
  <w:style w:customStyle="1" w:styleId="PO195" w:type="character">
    <w:name w:val="批注主题 Char"/>
    <w:basedOn w:val="PO194"/>
    <w:link w:val="PO171"/>
    <w:qFormat/>
    <w:uiPriority w:val="195"/>
    <w:semiHidden/>
    <w:rPr>
      <w:b w:val="1"/>
      <w:sz w:val="24"/>
      <w:szCs w:val="24"/>
      <w:rFonts w:ascii="Times New Roman" w:eastAsia="宋体" w:hAnsi="Times New Roman" w:cs="Times New Roman"/>
    </w:rPr>
  </w:style>
  <w:style w:customStyle="1" w:styleId="PO196" w:type="character">
    <w:name w:val="日期 Char"/>
    <w:basedOn w:val="PO2"/>
    <w:link w:val="PO160"/>
    <w:qFormat/>
    <w:uiPriority w:val="196"/>
    <w:semiHidden/>
    <w:rPr>
      <w:rFonts w:ascii="Times New Roman" w:eastAsia="宋体" w:hAnsi="Times New Roman" w:cs="Times New Roman"/>
    </w:rPr>
  </w:style>
  <w:style w:customStyle="1" w:styleId="PO197" w:type="character">
    <w:name w:val="文档结构图 Char"/>
    <w:basedOn w:val="PO2"/>
    <w:link w:val="PO153"/>
    <w:qFormat/>
    <w:uiPriority w:val="197"/>
    <w:semiHidden/>
    <w:rPr>
      <w:shd w:val="clear" w:color="000000" w:fill="000080"/>
      <w:rFonts w:ascii="Times New Roman" w:eastAsia="宋体" w:hAnsi="Times New Roman" w:cs="Times New Roman"/>
    </w:rPr>
  </w:style>
  <w:style w:customStyle="1" w:styleId="PO198" w:type="paragraph">
    <w:name w:val="样式 首行缩进:  2 字符 Char Char Char"/>
    <w:basedOn w:val="PO1"/>
    <w:qFormat/>
    <w:uiPriority w:val="198"/>
    <w:semiHidden/>
    <w:pPr>
      <w:ind w:firstLine="200"/>
      <w:rPr/>
    </w:pPr>
    <w:rPr>
      <w:sz w:val="24"/>
      <w:szCs w:val="24"/>
      <w:rFonts w:eastAsia="创艺简仿宋" w:cs="宋体"/>
    </w:rPr>
  </w:style>
  <w:style w:customStyle="1" w:styleId="PO199" w:type="paragraph">
    <w:name w:val="样式1"/>
    <w:basedOn w:val="PO9"/>
    <w:qFormat/>
    <w:uiPriority w:val="199"/>
    <w:semiHidden/>
    <w:pPr>
      <w:numPr>
        <w:ilvl w:val="0"/>
        <w:numId w:val="0"/>
      </w:numPr>
      <w:spacing w:lineRule="atLeast" w:line="360"/>
      <w:ind w:left="-539" w:right="0" w:firstLine="567"/>
      <w:tabs>
        <w:tab w:val="left" w:pos="27"/>
      </w:tabs>
      <w:rPr/>
    </w:pPr>
    <w:rPr>
      <w:sz w:val="21"/>
      <w:szCs w:val="21"/>
      <w:rFonts w:ascii="宋体" w:eastAsia="宋体"/>
    </w:rPr>
  </w:style>
  <w:style w:customStyle="1" w:styleId="PO200" w:type="paragraph">
    <w:name w:val="样式2"/>
    <w:basedOn w:val="PO7"/>
    <w:next w:val="PO199"/>
    <w:qFormat/>
    <w:uiPriority w:val="200"/>
    <w:semiHidden/>
    <w:pPr>
      <w:numPr>
        <w:ilvl w:val="0"/>
        <w:numId w:val="0"/>
      </w:numPr>
      <w:jc w:val="left"/>
      <w:spacing w:before="240" w:after="240"/>
      <w:ind w:right="0" w:firstLine="0"/>
      <w:rPr/>
    </w:pPr>
    <w:rPr>
      <w:sz w:val="28"/>
      <w:szCs w:val="28"/>
      <w:rFonts w:ascii="Plotter" w:eastAsia="宋体" w:hAnsi="Plotter" w:cs="Plotter"/>
    </w:rPr>
  </w:style>
  <w:style w:customStyle="1" w:styleId="PO201" w:type="character">
    <w:name w:val="页脚 Char"/>
    <w:basedOn w:val="PO2"/>
    <w:link w:val="PO163"/>
    <w:qFormat/>
    <w:uiPriority w:val="201"/>
    <w:rPr>
      <w:sz w:val="18"/>
      <w:szCs w:val="18"/>
      <w:rFonts w:ascii="Times New Roman" w:eastAsia="宋体" w:hAnsi="Times New Roman" w:cs="Times New Roman"/>
    </w:rPr>
  </w:style>
  <w:style w:customStyle="1" w:styleId="PO202" w:type="character">
    <w:name w:val="页眉 Char"/>
    <w:basedOn w:val="PO2"/>
    <w:link w:val="PO164"/>
    <w:qFormat/>
    <w:uiPriority w:val="202"/>
    <w:rPr>
      <w:sz w:val="18"/>
      <w:szCs w:val="18"/>
      <w:rFonts w:ascii="Times New Roman" w:eastAsia="宋体" w:hAnsi="Times New Roman" w:cs="Times New Roman"/>
    </w:rPr>
  </w:style>
  <w:style w:customStyle="1" w:styleId="PO203" w:type="character">
    <w:name w:val="正文文本 Char"/>
    <w:basedOn w:val="PO2"/>
    <w:link w:val="PO156"/>
    <w:qFormat/>
    <w:uiPriority w:val="203"/>
    <w:semiHidden/>
    <w:rPr>
      <w:rFonts w:ascii="Times New Roman" w:eastAsia="宋体" w:hAnsi="Times New Roman" w:cs="Times New Roman"/>
    </w:rPr>
  </w:style>
  <w:style w:customStyle="1" w:styleId="PO204" w:type="character">
    <w:name w:val="正文首行缩进 Char"/>
    <w:basedOn w:val="PO203"/>
    <w:link w:val="PO172"/>
    <w:qFormat/>
    <w:uiPriority w:val="204"/>
    <w:semiHidden/>
    <w:rPr>
      <w:rFonts w:ascii="Times New Roman" w:eastAsia="宋体" w:hAnsi="Times New Roman" w:cs="Times New Roman"/>
    </w:rPr>
  </w:style>
  <w:style w:customStyle="1" w:styleId="PO205" w:type="character">
    <w:name w:val="正文文本缩进 Char"/>
    <w:basedOn w:val="PO2"/>
    <w:link w:val="PO157"/>
    <w:qFormat/>
    <w:uiPriority w:val="205"/>
    <w:semiHidden/>
    <w:rPr>
      <w:rFonts w:ascii="Times New Roman" w:eastAsia="宋体" w:hAnsi="Times New Roman" w:cs="Times New Roman"/>
    </w:rPr>
  </w:style>
  <w:style w:customStyle="1" w:styleId="PO206" w:type="paragraph">
    <w:name w:val="正文修改"/>
    <w:basedOn w:val="PO1"/>
    <w:qFormat/>
    <w:uiPriority w:val="206"/>
    <w:pPr>
      <w:spacing w:lineRule="auto" w:line="360"/>
      <w:ind w:firstLine="200"/>
      <w:rPr/>
    </w:pPr>
    <w:rPr>
      <w:sz w:val="24"/>
      <w:szCs w:val="24"/>
    </w:rPr>
  </w:style>
  <w:style w:customStyle="1" w:styleId="PO207" w:type="paragraph">
    <w:name w:val="注释"/>
    <w:basedOn w:val="PO1"/>
    <w:qFormat/>
    <w:uiPriority w:val="207"/>
    <w:pPr>
      <w:spacing w:lineRule="auto" w:line="360"/>
      <w:ind w:firstLine="200"/>
      <w:rPr/>
    </w:pPr>
    <w:rPr>
      <w:rFonts w:eastAsia="黑体"/>
    </w:rPr>
  </w:style>
  <w:style w:customStyle="1" w:styleId="PO208" w:type="table">
    <w:name w:val="左右无边框"/>
    <w:basedOn w:val="PO3"/>
    <w:qFormat/>
    <w:uiPriority w:val="208"/>
    <w:pPr>
      <w:jc w:val="center"/>
      <w:rPr/>
    </w:pPr>
    <w:rPr>
      <w:rFonts w:ascii="Times New Roman" w:eastAsia="仿宋_GB2312" w:hAnsi="Times New Roman" w:cs="Times New Roman"/>
    </w:rPr>
    <w:tblPr>
      <w:jc w:val="left"/>
      <w:tblBorders>
        <w:bottom w:val="single" w:color="auto" w:sz="12"/>
        <w:insideH w:val="single" w:color="auto" w:sz="4"/>
        <w:insideV w:val="single" w:color="auto" w:sz="4"/>
        <w:top w:val="single" w:color="auto" w:sz="12"/>
      </w:tblBorders>
      <w:tblCellMar>
        <w:bottom w:type="dxa" w:w="0"/>
        <w:left w:type="dxa" w:w="57"/>
        <w:right w:type="dxa" w:w="57"/>
        <w:top w:type="dxa" w:w="0"/>
      </w:tblCellMar>
    </w:tblPr>
    <w:tcPr/>
    <w:trPr/>
  </w:style>
  <w:style w:customStyle="1" w:styleId="PO209" w:type="character">
    <w:name w:val="正文文本缩进 2 Char"/>
    <w:basedOn w:val="PO2"/>
    <w:link w:val="PO161"/>
    <w:qFormat/>
    <w:uiPriority w:val="209"/>
    <w:semiHidden/>
    <w:rPr>
      <w:rFonts w:ascii="Times New Roman" w:eastAsia="宋体" w:hAnsi="Times New Roman" w:cs="Times New Roman"/>
    </w:rPr>
  </w:style>
  <w:style w:customStyle="1" w:styleId="PO210" w:type="character">
    <w:name w:val="正文文本 3 Char"/>
    <w:basedOn w:val="PO2"/>
    <w:link w:val="PO155"/>
    <w:qFormat/>
    <w:uiPriority w:val="210"/>
    <w:rPr>
      <w:sz w:val="16"/>
      <w:szCs w:val="16"/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17</Lines>
  <LinksUpToDate>false</LinksUpToDate>
  <Pages>7</Pages>
  <Paragraphs>4</Paragraphs>
  <Words>358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yejun7899</dc:creator>
  <cp:lastModifiedBy/>
  <dcterms:modified xsi:type="dcterms:W3CDTF">2019-07-15T05:08:13Z</dcterms:modified>
</cp:coreProperties>
</file>